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59C6" w14:textId="279FBCF1" w:rsidR="00F41ABF" w:rsidRPr="006B1B16" w:rsidRDefault="003C709C" w:rsidP="00441133">
      <w:pPr>
        <w:spacing w:line="276" w:lineRule="auto"/>
        <w:jc w:val="both"/>
        <w:rPr>
          <w:rFonts w:ascii="Arial" w:hAnsi="Arial" w:cs="Arial"/>
          <w:b/>
          <w:bCs/>
          <w:u w:val="single"/>
          <w:lang w:val="en-GB"/>
        </w:rPr>
      </w:pPr>
      <w:bookmarkStart w:id="0" w:name="_Hlk59113703"/>
      <w:r>
        <w:rPr>
          <w:rFonts w:ascii="Arial" w:hAnsi="Arial" w:cs="Arial"/>
          <w:b/>
          <w:bCs/>
          <w:u w:val="single"/>
          <w:lang w:val="en-GB"/>
        </w:rPr>
        <w:t>FoodDrinkEurope views on T</w:t>
      </w:r>
      <w:r w:rsidR="00F41ABF" w:rsidRPr="006B1B16">
        <w:rPr>
          <w:rFonts w:ascii="Arial" w:hAnsi="Arial" w:cs="Arial"/>
          <w:b/>
          <w:bCs/>
          <w:u w:val="single"/>
          <w:lang w:val="en-GB"/>
        </w:rPr>
        <w:t>ransitional Periods when lowering Maximum Residue Limits (MRLs) for Pesticide Residues</w:t>
      </w:r>
      <w:r w:rsidR="00DA18C8">
        <w:rPr>
          <w:rFonts w:ascii="Arial" w:hAnsi="Arial" w:cs="Arial"/>
          <w:b/>
          <w:bCs/>
          <w:u w:val="single"/>
          <w:lang w:val="en-GB"/>
        </w:rPr>
        <w:t xml:space="preserve"> in Food</w:t>
      </w:r>
    </w:p>
    <w:bookmarkEnd w:id="0"/>
    <w:p w14:paraId="40E81BF7" w14:textId="5D08507D" w:rsidR="00620D36" w:rsidRPr="004A50E2" w:rsidRDefault="00620D36" w:rsidP="00441133">
      <w:pPr>
        <w:spacing w:line="276" w:lineRule="auto"/>
        <w:jc w:val="both"/>
        <w:rPr>
          <w:rFonts w:ascii="Arial" w:hAnsi="Arial" w:cs="Arial"/>
          <w:i/>
          <w:iCs/>
          <w:lang w:val="en-GB"/>
        </w:rPr>
      </w:pPr>
      <w:r w:rsidRPr="004A50E2">
        <w:rPr>
          <w:rFonts w:ascii="Arial" w:hAnsi="Arial" w:cs="Arial"/>
          <w:i/>
          <w:iCs/>
          <w:lang w:val="en-GB"/>
        </w:rPr>
        <w:t>Interested and/or submi</w:t>
      </w:r>
      <w:r w:rsidR="00E122D7">
        <w:rPr>
          <w:rFonts w:ascii="Arial" w:hAnsi="Arial" w:cs="Arial"/>
          <w:i/>
          <w:iCs/>
          <w:lang w:val="en-GB"/>
        </w:rPr>
        <w:t>t</w:t>
      </w:r>
      <w:r w:rsidRPr="004A50E2">
        <w:rPr>
          <w:rFonts w:ascii="Arial" w:hAnsi="Arial" w:cs="Arial"/>
          <w:i/>
          <w:iCs/>
          <w:lang w:val="en-GB"/>
        </w:rPr>
        <w:t>ted comments:</w:t>
      </w:r>
      <w:r w:rsidR="000A196B">
        <w:rPr>
          <w:rFonts w:ascii="Arial" w:hAnsi="Arial" w:cs="Arial"/>
          <w:i/>
          <w:iCs/>
          <w:lang w:val="en-GB"/>
        </w:rPr>
        <w:t xml:space="preserve"> CEEREAL,</w:t>
      </w:r>
      <w:r w:rsidRPr="004A50E2">
        <w:rPr>
          <w:rFonts w:ascii="Arial" w:hAnsi="Arial" w:cs="Arial"/>
          <w:i/>
          <w:iCs/>
          <w:lang w:val="en-GB"/>
        </w:rPr>
        <w:t xml:space="preserve"> </w:t>
      </w:r>
      <w:r w:rsidR="00FA3FF9" w:rsidRPr="004A50E2">
        <w:rPr>
          <w:rFonts w:ascii="Arial" w:hAnsi="Arial" w:cs="Arial"/>
          <w:i/>
          <w:iCs/>
          <w:lang w:val="en-GB"/>
        </w:rPr>
        <w:t>COCERAL, CropLife Europe, Europatat, Euroseeds, FEFAC, FERM, FRUCOM, PROFEL, Starch Europe</w:t>
      </w:r>
      <w:r w:rsidRPr="004A50E2">
        <w:rPr>
          <w:rFonts w:ascii="Arial" w:hAnsi="Arial" w:cs="Arial"/>
          <w:i/>
          <w:iCs/>
          <w:lang w:val="en-GB"/>
        </w:rPr>
        <w:t xml:space="preserve">, </w:t>
      </w:r>
      <w:r w:rsidR="00FA3FF9" w:rsidRPr="004A50E2">
        <w:rPr>
          <w:rFonts w:ascii="Arial" w:hAnsi="Arial" w:cs="Arial"/>
          <w:i/>
          <w:iCs/>
          <w:lang w:val="en-GB"/>
        </w:rPr>
        <w:t>FEDIOL, ECA</w:t>
      </w:r>
      <w:r w:rsidR="00A04296" w:rsidRPr="004A50E2">
        <w:rPr>
          <w:rFonts w:ascii="Arial" w:hAnsi="Arial" w:cs="Arial"/>
          <w:i/>
          <w:iCs/>
          <w:lang w:val="en-GB"/>
        </w:rPr>
        <w:t xml:space="preserve"> </w:t>
      </w:r>
    </w:p>
    <w:p w14:paraId="317EF96F" w14:textId="77777777" w:rsidR="000A196B" w:rsidRDefault="000A196B" w:rsidP="00441133">
      <w:pPr>
        <w:spacing w:line="276" w:lineRule="auto"/>
        <w:jc w:val="both"/>
        <w:rPr>
          <w:rFonts w:ascii="Arial" w:hAnsi="Arial" w:cs="Arial"/>
          <w:u w:val="single"/>
          <w:lang w:val="en-GB"/>
        </w:rPr>
      </w:pPr>
    </w:p>
    <w:p w14:paraId="3CEB65A7" w14:textId="1B01DCC4" w:rsidR="000A196B" w:rsidRDefault="000A196B" w:rsidP="00441133">
      <w:pPr>
        <w:spacing w:line="276" w:lineRule="auto"/>
        <w:jc w:val="both"/>
        <w:rPr>
          <w:rFonts w:ascii="Arial" w:hAnsi="Arial" w:cs="Arial"/>
          <w:u w:val="single"/>
          <w:lang w:val="en-GB"/>
        </w:rPr>
      </w:pPr>
      <w:r>
        <w:rPr>
          <w:rFonts w:ascii="Arial" w:hAnsi="Arial" w:cs="Arial"/>
          <w:u w:val="single"/>
          <w:lang w:val="en-GB"/>
        </w:rPr>
        <w:t>Executive summary</w:t>
      </w:r>
    </w:p>
    <w:p w14:paraId="7CCBAFB1" w14:textId="5E4B0C4A" w:rsidR="009E22AB" w:rsidRPr="009E22AB" w:rsidRDefault="000A196B" w:rsidP="009E22AB">
      <w:pPr>
        <w:spacing w:line="276" w:lineRule="auto"/>
        <w:jc w:val="both"/>
        <w:rPr>
          <w:rFonts w:ascii="Arial" w:hAnsi="Arial" w:cs="Arial"/>
          <w:lang w:val="en-GB"/>
        </w:rPr>
      </w:pPr>
      <w:r>
        <w:rPr>
          <w:rFonts w:ascii="Arial" w:hAnsi="Arial" w:cs="Arial"/>
          <w:lang w:val="en-GB"/>
        </w:rPr>
        <w:t xml:space="preserve">There are several reasons </w:t>
      </w:r>
      <w:r w:rsidR="009E22AB">
        <w:rPr>
          <w:rFonts w:ascii="Arial" w:hAnsi="Arial" w:cs="Arial"/>
          <w:lang w:val="en-GB"/>
        </w:rPr>
        <w:t>leading to the lowering of</w:t>
      </w:r>
      <w:r>
        <w:rPr>
          <w:rFonts w:ascii="Arial" w:hAnsi="Arial" w:cs="Arial"/>
          <w:lang w:val="en-GB"/>
        </w:rPr>
        <w:t xml:space="preserve"> Maximum Residue Levels (MRLs) for a pesticide</w:t>
      </w:r>
      <w:r w:rsidR="009E22AB">
        <w:rPr>
          <w:rFonts w:ascii="Arial" w:hAnsi="Arial" w:cs="Arial"/>
          <w:lang w:val="en-GB"/>
        </w:rPr>
        <w:t xml:space="preserve">, and not all are </w:t>
      </w:r>
      <w:r w:rsidR="00757AD7">
        <w:rPr>
          <w:rFonts w:ascii="Arial" w:hAnsi="Arial" w:cs="Arial"/>
          <w:lang w:val="en-GB"/>
        </w:rPr>
        <w:t>linked to a</w:t>
      </w:r>
      <w:r w:rsidR="009E22AB">
        <w:rPr>
          <w:rFonts w:ascii="Arial" w:hAnsi="Arial" w:cs="Arial"/>
          <w:lang w:val="en-GB"/>
        </w:rPr>
        <w:t xml:space="preserve"> possible health risk</w:t>
      </w:r>
      <w:r>
        <w:rPr>
          <w:rFonts w:ascii="Arial" w:hAnsi="Arial" w:cs="Arial"/>
          <w:lang w:val="en-GB"/>
        </w:rPr>
        <w:t xml:space="preserve">. </w:t>
      </w:r>
      <w:r w:rsidR="00757AD7">
        <w:rPr>
          <w:rFonts w:ascii="Arial" w:hAnsi="Arial" w:cs="Arial"/>
          <w:lang w:val="en-GB"/>
        </w:rPr>
        <w:t>When</w:t>
      </w:r>
      <w:r w:rsidR="009E22AB">
        <w:rPr>
          <w:rFonts w:ascii="Arial" w:hAnsi="Arial" w:cs="Arial"/>
          <w:lang w:val="en-GB"/>
        </w:rPr>
        <w:t xml:space="preserve"> </w:t>
      </w:r>
      <w:r w:rsidR="009E22AB" w:rsidRPr="000A196B">
        <w:rPr>
          <w:rFonts w:ascii="Arial" w:hAnsi="Arial" w:cs="Arial"/>
          <w:lang w:val="en-GB"/>
        </w:rPr>
        <w:t>MRLs are lowered without granting a transitional period</w:t>
      </w:r>
      <w:r w:rsidR="00757AD7">
        <w:rPr>
          <w:rFonts w:ascii="Arial" w:hAnsi="Arial" w:cs="Arial"/>
          <w:lang w:val="en-GB"/>
        </w:rPr>
        <w:t>, p</w:t>
      </w:r>
      <w:r w:rsidR="009E22AB" w:rsidRPr="009E22AB">
        <w:rPr>
          <w:rFonts w:ascii="Arial" w:hAnsi="Arial" w:cs="Arial"/>
          <w:lang w:val="en-GB"/>
        </w:rPr>
        <w:t xml:space="preserve">roducts lawfully produced or imported before become non-compliant when they do not meet the new MRLs. </w:t>
      </w:r>
      <w:r w:rsidR="009E22AB">
        <w:rPr>
          <w:rFonts w:ascii="Arial" w:hAnsi="Arial" w:cs="Arial"/>
          <w:lang w:val="en-GB"/>
        </w:rPr>
        <w:t>However, f</w:t>
      </w:r>
      <w:r w:rsidR="009E22AB" w:rsidRPr="009E22AB">
        <w:rPr>
          <w:rFonts w:ascii="Arial" w:hAnsi="Arial" w:cs="Arial"/>
          <w:lang w:val="en-GB"/>
        </w:rPr>
        <w:t>ood commodities can have a very long shelf-life</w:t>
      </w:r>
      <w:r w:rsidR="009E22AB">
        <w:rPr>
          <w:rFonts w:ascii="Arial" w:hAnsi="Arial" w:cs="Arial"/>
          <w:lang w:val="en-GB"/>
        </w:rPr>
        <w:t xml:space="preserve"> and </w:t>
      </w:r>
      <w:r w:rsidR="009E22AB" w:rsidRPr="009E22AB">
        <w:rPr>
          <w:rFonts w:ascii="Arial" w:hAnsi="Arial" w:cs="Arial"/>
          <w:lang w:val="en-GB"/>
        </w:rPr>
        <w:t xml:space="preserve">the given deferral period (usually 6 months) is often too short for farmers and supply chain to adapt. Consequently, big quantities of processed ingredients and end-products would need to be destroyed. </w:t>
      </w:r>
    </w:p>
    <w:p w14:paraId="3137A206" w14:textId="11F08AF0" w:rsidR="00166F13" w:rsidRDefault="009E22AB" w:rsidP="009E22AB">
      <w:pPr>
        <w:spacing w:line="276" w:lineRule="auto"/>
        <w:jc w:val="both"/>
        <w:rPr>
          <w:rFonts w:ascii="Arial" w:hAnsi="Arial" w:cs="Arial"/>
          <w:lang w:val="en-GB"/>
        </w:rPr>
      </w:pPr>
      <w:r w:rsidRPr="009E22AB">
        <w:rPr>
          <w:rFonts w:ascii="Arial" w:hAnsi="Arial" w:cs="Arial"/>
          <w:lang w:val="en-GB"/>
        </w:rPr>
        <w:t xml:space="preserve">Effective risk management requires </w:t>
      </w:r>
      <w:r w:rsidR="00166F13">
        <w:rPr>
          <w:rFonts w:ascii="Arial" w:hAnsi="Arial" w:cs="Arial"/>
          <w:lang w:val="en-GB"/>
        </w:rPr>
        <w:t xml:space="preserve">measures proportionate to the level of the risk, </w:t>
      </w:r>
      <w:r w:rsidRPr="009E22AB">
        <w:rPr>
          <w:rFonts w:ascii="Arial" w:hAnsi="Arial" w:cs="Arial"/>
          <w:lang w:val="en-GB"/>
        </w:rPr>
        <w:t>ensuring a high level of consumer protection whilst examining its consequences including economic damage to food operators and its contribution to food waste.</w:t>
      </w:r>
      <w:r w:rsidR="00166F13">
        <w:rPr>
          <w:rFonts w:ascii="Arial" w:hAnsi="Arial" w:cs="Arial"/>
          <w:lang w:val="en-GB"/>
        </w:rPr>
        <w:t xml:space="preserve"> We therefore request that:</w:t>
      </w:r>
    </w:p>
    <w:p w14:paraId="540ED0DC" w14:textId="43E9D0FC" w:rsidR="00166F13" w:rsidRDefault="00166F13" w:rsidP="009E22AB">
      <w:pPr>
        <w:spacing w:line="276" w:lineRule="auto"/>
        <w:jc w:val="both"/>
        <w:rPr>
          <w:rFonts w:ascii="Arial" w:hAnsi="Arial" w:cs="Arial"/>
          <w:lang w:val="en-GB"/>
        </w:rPr>
      </w:pPr>
      <w:r>
        <w:rPr>
          <w:rFonts w:ascii="Arial" w:hAnsi="Arial" w:cs="Arial"/>
          <w:lang w:val="en-GB"/>
        </w:rPr>
        <w:t>-</w:t>
      </w:r>
      <w:r w:rsidRPr="00166F13">
        <w:rPr>
          <w:rFonts w:ascii="Arial" w:hAnsi="Arial" w:cs="Arial"/>
          <w:lang w:val="en-GB"/>
        </w:rPr>
        <w:t xml:space="preserve"> </w:t>
      </w:r>
      <w:r>
        <w:rPr>
          <w:rFonts w:ascii="Arial" w:hAnsi="Arial" w:cs="Arial"/>
          <w:lang w:val="en-GB"/>
        </w:rPr>
        <w:t>T</w:t>
      </w:r>
      <w:r w:rsidRPr="00166F13">
        <w:rPr>
          <w:rFonts w:ascii="Arial" w:hAnsi="Arial" w:cs="Arial"/>
          <w:lang w:val="en-GB"/>
        </w:rPr>
        <w:t xml:space="preserve">he Commission in its role as risk manager fully assesses all possible consequences of any </w:t>
      </w:r>
      <w:r w:rsidR="00354AD3">
        <w:rPr>
          <w:rFonts w:ascii="Arial" w:hAnsi="Arial" w:cs="Arial"/>
          <w:lang w:val="en-GB"/>
        </w:rPr>
        <w:t xml:space="preserve">risk management </w:t>
      </w:r>
      <w:r w:rsidRPr="00166F13">
        <w:rPr>
          <w:rFonts w:ascii="Arial" w:hAnsi="Arial" w:cs="Arial"/>
          <w:lang w:val="en-GB"/>
        </w:rPr>
        <w:t>measure in accordance with the principle of proportionality.</w:t>
      </w:r>
    </w:p>
    <w:p w14:paraId="73580246" w14:textId="77777777" w:rsidR="00757AD7" w:rsidRDefault="00166F13" w:rsidP="00166F13">
      <w:pPr>
        <w:spacing w:line="276" w:lineRule="auto"/>
        <w:jc w:val="both"/>
        <w:rPr>
          <w:rFonts w:ascii="Arial" w:hAnsi="Arial" w:cs="Arial"/>
          <w:lang w:val="en-GB"/>
        </w:rPr>
      </w:pPr>
      <w:r>
        <w:rPr>
          <w:rFonts w:ascii="Arial" w:hAnsi="Arial" w:cs="Arial"/>
          <w:lang w:val="en-GB"/>
        </w:rPr>
        <w:t>-</w:t>
      </w:r>
      <w:r w:rsidR="00757AD7">
        <w:rPr>
          <w:rFonts w:ascii="Arial" w:hAnsi="Arial" w:cs="Arial"/>
          <w:lang w:val="en-GB"/>
        </w:rPr>
        <w:t xml:space="preserve"> T</w:t>
      </w:r>
      <w:r w:rsidRPr="009E22AB">
        <w:rPr>
          <w:rFonts w:ascii="Arial" w:hAnsi="Arial" w:cs="Arial"/>
          <w:lang w:val="en-GB"/>
        </w:rPr>
        <w:t>ransitional measures</w:t>
      </w:r>
      <w:r>
        <w:rPr>
          <w:rFonts w:ascii="Arial" w:hAnsi="Arial" w:cs="Arial"/>
          <w:lang w:val="en-GB"/>
        </w:rPr>
        <w:t xml:space="preserve"> are granted</w:t>
      </w:r>
      <w:r w:rsidRPr="009E22AB">
        <w:rPr>
          <w:rFonts w:ascii="Arial" w:hAnsi="Arial" w:cs="Arial"/>
          <w:lang w:val="en-GB"/>
        </w:rPr>
        <w:t xml:space="preserve"> for </w:t>
      </w:r>
      <w:r>
        <w:rPr>
          <w:rFonts w:ascii="Arial" w:hAnsi="Arial" w:cs="Arial"/>
          <w:lang w:val="en-GB"/>
        </w:rPr>
        <w:t>foodstuffs</w:t>
      </w:r>
      <w:r w:rsidRPr="009E22AB">
        <w:rPr>
          <w:rFonts w:ascii="Arial" w:hAnsi="Arial" w:cs="Arial"/>
          <w:lang w:val="en-GB"/>
        </w:rPr>
        <w:t xml:space="preserve"> </w:t>
      </w:r>
      <w:r w:rsidRPr="00166F13">
        <w:rPr>
          <w:rFonts w:ascii="Arial" w:hAnsi="Arial" w:cs="Arial"/>
          <w:lang w:val="en-GB"/>
        </w:rPr>
        <w:t>that ha</w:t>
      </w:r>
      <w:r>
        <w:rPr>
          <w:rFonts w:ascii="Arial" w:hAnsi="Arial" w:cs="Arial"/>
          <w:lang w:val="en-GB"/>
        </w:rPr>
        <w:t>ve</w:t>
      </w:r>
      <w:r w:rsidRPr="00166F13">
        <w:rPr>
          <w:rFonts w:ascii="Arial" w:hAnsi="Arial" w:cs="Arial"/>
          <w:lang w:val="en-GB"/>
        </w:rPr>
        <w:t xml:space="preserve"> already been </w:t>
      </w:r>
      <w:r>
        <w:rPr>
          <w:rFonts w:ascii="Arial" w:hAnsi="Arial" w:cs="Arial"/>
          <w:lang w:val="en-GB"/>
        </w:rPr>
        <w:t xml:space="preserve">lawfully </w:t>
      </w:r>
      <w:r w:rsidRPr="00166F13">
        <w:rPr>
          <w:rFonts w:ascii="Arial" w:hAnsi="Arial" w:cs="Arial"/>
          <w:lang w:val="en-GB"/>
        </w:rPr>
        <w:t xml:space="preserve">produced and to use and process </w:t>
      </w:r>
      <w:r>
        <w:rPr>
          <w:rFonts w:ascii="Arial" w:hAnsi="Arial" w:cs="Arial"/>
          <w:lang w:val="en-GB"/>
        </w:rPr>
        <w:t xml:space="preserve">them </w:t>
      </w:r>
      <w:r w:rsidRPr="00166F13">
        <w:rPr>
          <w:rFonts w:ascii="Arial" w:hAnsi="Arial" w:cs="Arial"/>
          <w:lang w:val="en-GB"/>
        </w:rPr>
        <w:t xml:space="preserve">until the end of its shelf-life, provided </w:t>
      </w:r>
      <w:r>
        <w:rPr>
          <w:rFonts w:ascii="Arial" w:hAnsi="Arial" w:cs="Arial"/>
          <w:lang w:val="en-GB"/>
        </w:rPr>
        <w:t>they</w:t>
      </w:r>
      <w:r w:rsidRPr="00166F13">
        <w:rPr>
          <w:rFonts w:ascii="Arial" w:hAnsi="Arial" w:cs="Arial"/>
          <w:lang w:val="en-GB"/>
        </w:rPr>
        <w:t xml:space="preserve"> </w:t>
      </w:r>
      <w:r>
        <w:rPr>
          <w:rFonts w:ascii="Arial" w:hAnsi="Arial" w:cs="Arial"/>
          <w:lang w:val="en-GB"/>
        </w:rPr>
        <w:t xml:space="preserve">are </w:t>
      </w:r>
      <w:r w:rsidRPr="00166F13">
        <w:rPr>
          <w:rFonts w:ascii="Arial" w:hAnsi="Arial" w:cs="Arial"/>
          <w:lang w:val="en-GB"/>
        </w:rPr>
        <w:t xml:space="preserve">safe i.e. the exposure from residues in a concrete product does not exceed the toxicological reference levels. </w:t>
      </w:r>
    </w:p>
    <w:p w14:paraId="171F6225" w14:textId="77777777" w:rsidR="009E22AB" w:rsidRDefault="009E22AB" w:rsidP="00441133">
      <w:pPr>
        <w:spacing w:line="276" w:lineRule="auto"/>
        <w:jc w:val="both"/>
        <w:rPr>
          <w:rFonts w:ascii="Arial" w:hAnsi="Arial" w:cs="Arial"/>
          <w:u w:val="single"/>
          <w:lang w:val="en-GB"/>
        </w:rPr>
      </w:pPr>
    </w:p>
    <w:p w14:paraId="32A04AB6" w14:textId="2DA78213" w:rsidR="007B049E" w:rsidRPr="006B1B16" w:rsidRDefault="007B049E" w:rsidP="00441133">
      <w:pPr>
        <w:spacing w:line="276" w:lineRule="auto"/>
        <w:jc w:val="both"/>
        <w:rPr>
          <w:rFonts w:ascii="Arial" w:hAnsi="Arial" w:cs="Arial"/>
          <w:u w:val="single"/>
          <w:lang w:val="en-GB"/>
        </w:rPr>
      </w:pPr>
      <w:r w:rsidRPr="006B1B16">
        <w:rPr>
          <w:rFonts w:ascii="Arial" w:hAnsi="Arial" w:cs="Arial"/>
          <w:u w:val="single"/>
          <w:lang w:val="en-GB"/>
        </w:rPr>
        <w:t>Background</w:t>
      </w:r>
    </w:p>
    <w:p w14:paraId="05A41CE3" w14:textId="2304BB81" w:rsidR="00403E24" w:rsidRDefault="00F41ABF" w:rsidP="00403E24">
      <w:pPr>
        <w:spacing w:line="276" w:lineRule="auto"/>
        <w:jc w:val="both"/>
        <w:rPr>
          <w:rFonts w:ascii="Arial" w:hAnsi="Arial" w:cs="Arial"/>
          <w:lang w:val="en-GB"/>
        </w:rPr>
      </w:pPr>
      <w:r w:rsidRPr="006B1B16">
        <w:rPr>
          <w:rFonts w:ascii="Arial" w:hAnsi="Arial" w:cs="Arial"/>
          <w:lang w:val="en-GB"/>
        </w:rPr>
        <w:t xml:space="preserve">Regulation (EC) No 396/2005 </w:t>
      </w:r>
      <w:r w:rsidR="00B42137" w:rsidRPr="006B1B16">
        <w:rPr>
          <w:rFonts w:ascii="Arial" w:hAnsi="Arial" w:cs="Arial"/>
          <w:lang w:val="en-GB"/>
        </w:rPr>
        <w:t>lays down</w:t>
      </w:r>
      <w:r w:rsidRPr="006B1B16">
        <w:rPr>
          <w:rFonts w:ascii="Arial" w:hAnsi="Arial" w:cs="Arial"/>
          <w:lang w:val="en-GB"/>
        </w:rPr>
        <w:t xml:space="preserve"> maximum residue levels </w:t>
      </w:r>
      <w:r w:rsidR="007B049E" w:rsidRPr="006B1B16">
        <w:rPr>
          <w:rFonts w:ascii="Arial" w:hAnsi="Arial" w:cs="Arial"/>
          <w:lang w:val="en-GB"/>
        </w:rPr>
        <w:t xml:space="preserve">(MRLs) </w:t>
      </w:r>
      <w:r w:rsidR="00DA18C8">
        <w:rPr>
          <w:rFonts w:ascii="Arial" w:hAnsi="Arial" w:cs="Arial"/>
          <w:lang w:val="en-GB"/>
        </w:rPr>
        <w:t>for</w:t>
      </w:r>
      <w:r w:rsidR="00DA18C8" w:rsidRPr="006B1B16">
        <w:rPr>
          <w:rFonts w:ascii="Arial" w:hAnsi="Arial" w:cs="Arial"/>
          <w:lang w:val="en-GB"/>
        </w:rPr>
        <w:t xml:space="preserve"> </w:t>
      </w:r>
      <w:r w:rsidRPr="006B1B16">
        <w:rPr>
          <w:rFonts w:ascii="Arial" w:hAnsi="Arial" w:cs="Arial"/>
          <w:lang w:val="en-GB"/>
        </w:rPr>
        <w:t xml:space="preserve">pesticides in or on food and feed of plant and animal origin in the European Union. </w:t>
      </w:r>
      <w:r w:rsidR="005C7558">
        <w:rPr>
          <w:rFonts w:ascii="Arial" w:hAnsi="Arial" w:cs="Arial"/>
          <w:lang w:val="en-GB"/>
        </w:rPr>
        <w:t xml:space="preserve">The question of residues and the possible setting of </w:t>
      </w:r>
      <w:r w:rsidR="00FF6D5F">
        <w:rPr>
          <w:rFonts w:ascii="Arial" w:hAnsi="Arial" w:cs="Arial"/>
          <w:lang w:val="en-GB"/>
        </w:rPr>
        <w:t xml:space="preserve">MRLs </w:t>
      </w:r>
      <w:r w:rsidR="005C7558">
        <w:rPr>
          <w:rFonts w:ascii="Arial" w:hAnsi="Arial" w:cs="Arial"/>
          <w:lang w:val="en-GB"/>
        </w:rPr>
        <w:t>ha</w:t>
      </w:r>
      <w:r w:rsidR="007008F2">
        <w:rPr>
          <w:rFonts w:ascii="Arial" w:hAnsi="Arial" w:cs="Arial"/>
          <w:lang w:val="en-GB"/>
        </w:rPr>
        <w:t>s</w:t>
      </w:r>
      <w:r w:rsidR="005C7558">
        <w:rPr>
          <w:rFonts w:ascii="Arial" w:hAnsi="Arial" w:cs="Arial"/>
          <w:lang w:val="en-GB"/>
        </w:rPr>
        <w:t xml:space="preserve"> to be clarified before </w:t>
      </w:r>
      <w:r w:rsidR="00FF6D5F">
        <w:rPr>
          <w:rFonts w:ascii="Arial" w:hAnsi="Arial" w:cs="Arial"/>
          <w:lang w:val="en-GB"/>
        </w:rPr>
        <w:t xml:space="preserve">granting any authorisation </w:t>
      </w:r>
      <w:r w:rsidR="005C7558">
        <w:rPr>
          <w:rFonts w:ascii="Arial" w:hAnsi="Arial" w:cs="Arial"/>
          <w:lang w:val="en-GB"/>
        </w:rPr>
        <w:t xml:space="preserve">of plant protection products </w:t>
      </w:r>
      <w:r w:rsidR="00FF6D5F">
        <w:rPr>
          <w:rFonts w:ascii="Arial" w:hAnsi="Arial" w:cs="Arial"/>
          <w:lang w:val="en-GB"/>
        </w:rPr>
        <w:t xml:space="preserve">in Europe as well as for allowing imported goods on the Union’s market. </w:t>
      </w:r>
      <w:r w:rsidRPr="006B1B16">
        <w:rPr>
          <w:rFonts w:ascii="Arial" w:hAnsi="Arial" w:cs="Arial"/>
          <w:lang w:val="en-GB"/>
        </w:rPr>
        <w:t xml:space="preserve">According to </w:t>
      </w:r>
      <w:r w:rsidR="005028EC">
        <w:rPr>
          <w:rFonts w:ascii="Arial" w:hAnsi="Arial" w:cs="Arial"/>
          <w:lang w:val="en-GB"/>
        </w:rPr>
        <w:t xml:space="preserve">the </w:t>
      </w:r>
      <w:r w:rsidR="00DA18C8">
        <w:rPr>
          <w:rFonts w:ascii="Arial" w:hAnsi="Arial" w:cs="Arial"/>
          <w:lang w:val="en-GB"/>
        </w:rPr>
        <w:t>European legislation on plant protection products</w:t>
      </w:r>
      <w:r w:rsidR="005028EC">
        <w:rPr>
          <w:rFonts w:ascii="Arial" w:hAnsi="Arial" w:cs="Arial"/>
          <w:lang w:val="en-GB"/>
        </w:rPr>
        <w:t xml:space="preserve"> (PPP)</w:t>
      </w:r>
      <w:r w:rsidR="00DA18C8">
        <w:rPr>
          <w:rFonts w:ascii="Arial" w:hAnsi="Arial" w:cs="Arial"/>
          <w:lang w:val="en-GB"/>
        </w:rPr>
        <w:t>,</w:t>
      </w:r>
      <w:r w:rsidR="00FC7C76">
        <w:rPr>
          <w:rFonts w:ascii="Arial" w:hAnsi="Arial" w:cs="Arial"/>
          <w:lang w:val="en-GB"/>
        </w:rPr>
        <w:t xml:space="preserve"> approval of</w:t>
      </w:r>
      <w:r w:rsidR="00DA18C8">
        <w:rPr>
          <w:rFonts w:ascii="Arial" w:hAnsi="Arial" w:cs="Arial"/>
          <w:lang w:val="en-GB"/>
        </w:rPr>
        <w:t xml:space="preserve"> active substances for PPP </w:t>
      </w:r>
      <w:r w:rsidR="00846427" w:rsidRPr="006B1B16">
        <w:rPr>
          <w:rFonts w:ascii="Arial" w:hAnsi="Arial" w:cs="Arial"/>
          <w:lang w:val="en-GB"/>
        </w:rPr>
        <w:t>must</w:t>
      </w:r>
      <w:r w:rsidRPr="006B1B16">
        <w:rPr>
          <w:rFonts w:ascii="Arial" w:hAnsi="Arial" w:cs="Arial"/>
          <w:lang w:val="en-GB"/>
        </w:rPr>
        <w:t xml:space="preserve"> be </w:t>
      </w:r>
      <w:r w:rsidR="00FC7C76" w:rsidRPr="006B1B16">
        <w:rPr>
          <w:rFonts w:ascii="Arial" w:hAnsi="Arial" w:cs="Arial"/>
          <w:lang w:val="en-GB"/>
        </w:rPr>
        <w:t>re</w:t>
      </w:r>
      <w:r w:rsidR="00FC7C76">
        <w:rPr>
          <w:rFonts w:ascii="Arial" w:hAnsi="Arial" w:cs="Arial"/>
          <w:lang w:val="en-GB"/>
        </w:rPr>
        <w:t>newed</w:t>
      </w:r>
      <w:r w:rsidR="00FC7C76" w:rsidRPr="006B1B16">
        <w:rPr>
          <w:rFonts w:ascii="Arial" w:hAnsi="Arial" w:cs="Arial"/>
          <w:lang w:val="en-GB"/>
        </w:rPr>
        <w:t xml:space="preserve"> </w:t>
      </w:r>
      <w:r w:rsidRPr="006B1B16">
        <w:rPr>
          <w:rFonts w:ascii="Arial" w:hAnsi="Arial" w:cs="Arial"/>
          <w:lang w:val="en-GB"/>
        </w:rPr>
        <w:t>periodically and on request</w:t>
      </w:r>
      <w:r w:rsidR="00FC7C76">
        <w:rPr>
          <w:rFonts w:ascii="Arial" w:hAnsi="Arial" w:cs="Arial"/>
          <w:lang w:val="en-GB"/>
        </w:rPr>
        <w:t xml:space="preserve">. </w:t>
      </w:r>
      <w:r w:rsidR="00403E24" w:rsidRPr="006B1B16">
        <w:rPr>
          <w:rFonts w:ascii="Arial" w:hAnsi="Arial" w:cs="Arial"/>
          <w:lang w:val="en-GB"/>
        </w:rPr>
        <w:t xml:space="preserve">When </w:t>
      </w:r>
      <w:r w:rsidR="00403E24">
        <w:rPr>
          <w:rFonts w:ascii="Arial" w:hAnsi="Arial" w:cs="Arial"/>
          <w:lang w:val="en-GB"/>
        </w:rPr>
        <w:t xml:space="preserve">an active substance is not renewed and all its national </w:t>
      </w:r>
      <w:r w:rsidR="00403E24" w:rsidRPr="006B1B16">
        <w:rPr>
          <w:rFonts w:ascii="Arial" w:hAnsi="Arial" w:cs="Arial"/>
          <w:lang w:val="en-GB"/>
        </w:rPr>
        <w:t>authorisation</w:t>
      </w:r>
      <w:r w:rsidR="00403E24">
        <w:rPr>
          <w:rFonts w:ascii="Arial" w:hAnsi="Arial" w:cs="Arial"/>
          <w:lang w:val="en-GB"/>
        </w:rPr>
        <w:t xml:space="preserve">s have been revoked, </w:t>
      </w:r>
      <w:r w:rsidR="00403E24" w:rsidRPr="006B1B16">
        <w:rPr>
          <w:rFonts w:ascii="Arial" w:hAnsi="Arial" w:cs="Arial"/>
          <w:lang w:val="en-GB"/>
        </w:rPr>
        <w:t xml:space="preserve">MRLs </w:t>
      </w:r>
      <w:r w:rsidR="00403E24">
        <w:rPr>
          <w:rFonts w:ascii="Arial" w:hAnsi="Arial" w:cs="Arial"/>
          <w:lang w:val="en-GB"/>
        </w:rPr>
        <w:t xml:space="preserve">supporting those revoked national authorisations </w:t>
      </w:r>
      <w:r w:rsidR="00403E24" w:rsidRPr="006B1B16">
        <w:rPr>
          <w:rFonts w:ascii="Arial" w:hAnsi="Arial" w:cs="Arial"/>
          <w:lang w:val="en-GB"/>
        </w:rPr>
        <w:t>are lowered accordingly. Article 49 contains provisions for the applicability of transitional measures</w:t>
      </w:r>
      <w:r w:rsidR="00403E24">
        <w:rPr>
          <w:rFonts w:ascii="Arial" w:hAnsi="Arial" w:cs="Arial"/>
          <w:lang w:val="en-GB"/>
        </w:rPr>
        <w:t>. Whereas</w:t>
      </w:r>
      <w:r w:rsidR="00403E24" w:rsidRPr="006B1B16">
        <w:rPr>
          <w:rFonts w:ascii="Arial" w:hAnsi="Arial" w:cs="Arial"/>
          <w:lang w:val="en-GB"/>
        </w:rPr>
        <w:t xml:space="preserve"> </w:t>
      </w:r>
      <w:r w:rsidR="00403E24">
        <w:rPr>
          <w:rFonts w:ascii="Arial" w:hAnsi="Arial" w:cs="Arial"/>
          <w:lang w:val="en-GB"/>
        </w:rPr>
        <w:t xml:space="preserve">Article 49 (1) refers to the first introduction of Reg. </w:t>
      </w:r>
      <w:r w:rsidR="004A50E2">
        <w:rPr>
          <w:rFonts w:ascii="Arial" w:hAnsi="Arial" w:cs="Arial"/>
          <w:lang w:val="en-GB"/>
        </w:rPr>
        <w:t xml:space="preserve">(EC) No </w:t>
      </w:r>
      <w:r w:rsidR="00403E24">
        <w:rPr>
          <w:rFonts w:ascii="Arial" w:hAnsi="Arial" w:cs="Arial"/>
          <w:lang w:val="en-GB"/>
        </w:rPr>
        <w:t xml:space="preserve">396/2005, Article 49 (2) refers to the amending regulations due mainly to MRL changes. It says: </w:t>
      </w:r>
      <w:r w:rsidR="00403E24" w:rsidRPr="00E21F9B">
        <w:rPr>
          <w:rFonts w:ascii="Arial" w:hAnsi="Arial" w:cs="Arial"/>
          <w:i/>
          <w:iCs/>
          <w:lang w:val="en-GB"/>
        </w:rPr>
        <w:t>"</w:t>
      </w:r>
      <w:r w:rsidR="00403E24">
        <w:rPr>
          <w:rFonts w:ascii="Arial" w:hAnsi="Arial" w:cs="Arial"/>
          <w:i/>
          <w:iCs/>
          <w:lang w:val="en-GB"/>
        </w:rPr>
        <w:t>W</w:t>
      </w:r>
      <w:r w:rsidR="00403E24" w:rsidRPr="00E21F9B">
        <w:rPr>
          <w:rFonts w:ascii="Arial" w:hAnsi="Arial" w:cs="Arial"/>
          <w:i/>
          <w:iCs/>
          <w:lang w:val="en-GB"/>
        </w:rPr>
        <w:t xml:space="preserve">here necessary to allow for the normal marketing, processing and </w:t>
      </w:r>
      <w:r w:rsidR="00403E24" w:rsidRPr="00E21F9B">
        <w:rPr>
          <w:rFonts w:ascii="Arial" w:hAnsi="Arial" w:cs="Arial"/>
          <w:i/>
          <w:iCs/>
          <w:lang w:val="en-GB"/>
        </w:rPr>
        <w:lastRenderedPageBreak/>
        <w:t>consumption of products</w:t>
      </w:r>
      <w:r w:rsidR="00403E24">
        <w:rPr>
          <w:rFonts w:ascii="Arial" w:hAnsi="Arial" w:cs="Arial"/>
          <w:i/>
          <w:iCs/>
          <w:lang w:val="en-GB"/>
        </w:rPr>
        <w:t>, further transitional measures may be laid down (…)</w:t>
      </w:r>
      <w:r w:rsidR="00403E24" w:rsidRPr="00E21F9B">
        <w:rPr>
          <w:rFonts w:ascii="Arial" w:hAnsi="Arial" w:cs="Arial"/>
          <w:i/>
          <w:iCs/>
          <w:lang w:val="en-GB"/>
        </w:rPr>
        <w:t>"</w:t>
      </w:r>
      <w:r w:rsidR="00403E24">
        <w:rPr>
          <w:rFonts w:ascii="Arial" w:hAnsi="Arial" w:cs="Arial"/>
          <w:i/>
          <w:iCs/>
          <w:lang w:val="en-GB"/>
        </w:rPr>
        <w:t xml:space="preserve">. </w:t>
      </w:r>
      <w:r w:rsidR="00403E24" w:rsidRPr="00DA12D4">
        <w:rPr>
          <w:rFonts w:ascii="Arial" w:hAnsi="Arial" w:cs="Arial"/>
          <w:lang w:val="en-GB"/>
        </w:rPr>
        <w:t>It also s</w:t>
      </w:r>
      <w:r w:rsidR="00403E24">
        <w:rPr>
          <w:rFonts w:ascii="Arial" w:hAnsi="Arial" w:cs="Arial"/>
          <w:lang w:val="en-GB"/>
        </w:rPr>
        <w:t>tates</w:t>
      </w:r>
      <w:r w:rsidR="00403E24" w:rsidRPr="00DA12D4">
        <w:rPr>
          <w:rFonts w:ascii="Arial" w:hAnsi="Arial" w:cs="Arial"/>
          <w:lang w:val="en-GB"/>
        </w:rPr>
        <w:t xml:space="preserve"> that</w:t>
      </w:r>
      <w:r w:rsidR="00403E24">
        <w:rPr>
          <w:rFonts w:ascii="Arial" w:hAnsi="Arial" w:cs="Arial"/>
          <w:i/>
          <w:iCs/>
          <w:lang w:val="en-GB"/>
        </w:rPr>
        <w:t xml:space="preserve"> </w:t>
      </w:r>
      <w:r w:rsidR="00403E24" w:rsidRPr="00DA12D4">
        <w:rPr>
          <w:rFonts w:ascii="Arial" w:hAnsi="Arial" w:cs="Arial"/>
          <w:lang w:val="en-GB"/>
        </w:rPr>
        <w:t>those measures have to be designed</w:t>
      </w:r>
      <w:r w:rsidR="00403E24">
        <w:rPr>
          <w:rFonts w:ascii="Arial" w:hAnsi="Arial" w:cs="Arial"/>
          <w:i/>
          <w:iCs/>
          <w:lang w:val="en-GB"/>
        </w:rPr>
        <w:t xml:space="preserve"> “without the prejudice to the obligation to ensure a high level of consumer protection”. </w:t>
      </w:r>
      <w:r w:rsidR="00403E24">
        <w:rPr>
          <w:rFonts w:ascii="Arial" w:hAnsi="Arial" w:cs="Arial"/>
          <w:lang w:val="en-GB"/>
        </w:rPr>
        <w:t xml:space="preserve"> </w:t>
      </w:r>
    </w:p>
    <w:p w14:paraId="47375F0E" w14:textId="172C6387" w:rsidR="00F41ABF" w:rsidRPr="006B1B16" w:rsidRDefault="00FF6D5F" w:rsidP="00441133">
      <w:pPr>
        <w:spacing w:line="276" w:lineRule="auto"/>
        <w:jc w:val="both"/>
        <w:rPr>
          <w:rFonts w:ascii="Arial" w:hAnsi="Arial" w:cs="Arial"/>
          <w:lang w:val="en-GB"/>
        </w:rPr>
      </w:pPr>
      <w:r>
        <w:rPr>
          <w:rFonts w:ascii="Arial" w:hAnsi="Arial" w:cs="Arial"/>
          <w:lang w:val="en-GB"/>
        </w:rPr>
        <w:t>When Reg (EC) No 396/2005 was introduced, article 12 defined that existing MRLs had to be reviewed</w:t>
      </w:r>
      <w:r w:rsidR="004A50E2">
        <w:rPr>
          <w:rFonts w:ascii="Arial" w:hAnsi="Arial" w:cs="Arial"/>
          <w:lang w:val="en-GB"/>
        </w:rPr>
        <w:t xml:space="preserve">. </w:t>
      </w:r>
      <w:r w:rsidR="00467CCC">
        <w:rPr>
          <w:rFonts w:ascii="Arial" w:hAnsi="Arial" w:cs="Arial"/>
          <w:lang w:val="en-GB"/>
        </w:rPr>
        <w:t xml:space="preserve">The first step </w:t>
      </w:r>
      <w:r>
        <w:rPr>
          <w:rFonts w:ascii="Arial" w:hAnsi="Arial" w:cs="Arial"/>
          <w:lang w:val="en-GB"/>
        </w:rPr>
        <w:t xml:space="preserve">in </w:t>
      </w:r>
      <w:r w:rsidR="00467CCC">
        <w:rPr>
          <w:rFonts w:ascii="Arial" w:hAnsi="Arial" w:cs="Arial"/>
          <w:lang w:val="en-GB"/>
        </w:rPr>
        <w:t>this re</w:t>
      </w:r>
      <w:r>
        <w:rPr>
          <w:rFonts w:ascii="Arial" w:hAnsi="Arial" w:cs="Arial"/>
          <w:lang w:val="en-GB"/>
        </w:rPr>
        <w:t>view of existing MRLs</w:t>
      </w:r>
      <w:r w:rsidRPr="00FF6D5F">
        <w:rPr>
          <w:rFonts w:ascii="Arial" w:hAnsi="Arial" w:cs="Arial"/>
          <w:lang w:val="en-GB"/>
        </w:rPr>
        <w:t xml:space="preserve"> </w:t>
      </w:r>
      <w:r>
        <w:rPr>
          <w:rFonts w:ascii="Arial" w:hAnsi="Arial" w:cs="Arial"/>
          <w:lang w:val="en-GB"/>
        </w:rPr>
        <w:t>is a collection of all authorized uses, followed</w:t>
      </w:r>
      <w:r w:rsidR="00360DF2">
        <w:rPr>
          <w:rFonts w:ascii="Arial" w:hAnsi="Arial" w:cs="Arial"/>
          <w:lang w:val="en-GB"/>
        </w:rPr>
        <w:t>,</w:t>
      </w:r>
      <w:r>
        <w:rPr>
          <w:rFonts w:ascii="Arial" w:hAnsi="Arial" w:cs="Arial"/>
          <w:lang w:val="en-GB"/>
        </w:rPr>
        <w:t xml:space="preserve"> </w:t>
      </w:r>
      <w:r w:rsidR="00A04296">
        <w:rPr>
          <w:rFonts w:ascii="Arial" w:hAnsi="Arial" w:cs="Arial"/>
          <w:lang w:val="en-GB"/>
        </w:rPr>
        <w:t>in most cases but not always</w:t>
      </w:r>
      <w:r w:rsidR="00360DF2">
        <w:rPr>
          <w:rFonts w:ascii="Arial" w:hAnsi="Arial" w:cs="Arial"/>
          <w:lang w:val="en-GB"/>
        </w:rPr>
        <w:t>,</w:t>
      </w:r>
      <w:r w:rsidR="00A04296">
        <w:rPr>
          <w:rFonts w:ascii="Arial" w:hAnsi="Arial" w:cs="Arial"/>
          <w:lang w:val="en-GB"/>
        </w:rPr>
        <w:t xml:space="preserve"> </w:t>
      </w:r>
      <w:r>
        <w:rPr>
          <w:rFonts w:ascii="Arial" w:hAnsi="Arial" w:cs="Arial"/>
          <w:lang w:val="en-GB"/>
        </w:rPr>
        <w:t xml:space="preserve">by </w:t>
      </w:r>
      <w:r w:rsidRPr="006B1B16">
        <w:rPr>
          <w:rFonts w:ascii="Arial" w:hAnsi="Arial" w:cs="Arial"/>
          <w:lang w:val="en-GB"/>
        </w:rPr>
        <w:t xml:space="preserve">a risk assessment </w:t>
      </w:r>
      <w:r w:rsidR="007008F2">
        <w:rPr>
          <w:rFonts w:ascii="Arial" w:hAnsi="Arial" w:cs="Arial"/>
          <w:lang w:val="en-GB"/>
        </w:rPr>
        <w:t>of</w:t>
      </w:r>
      <w:r w:rsidR="007008F2" w:rsidRPr="006B1B16">
        <w:rPr>
          <w:rFonts w:ascii="Arial" w:hAnsi="Arial" w:cs="Arial"/>
          <w:lang w:val="en-GB"/>
        </w:rPr>
        <w:t xml:space="preserve"> </w:t>
      </w:r>
      <w:r w:rsidRPr="006B1B16">
        <w:rPr>
          <w:rFonts w:ascii="Arial" w:hAnsi="Arial" w:cs="Arial"/>
          <w:lang w:val="en-GB"/>
        </w:rPr>
        <w:t xml:space="preserve">EFSA to evaluate </w:t>
      </w:r>
      <w:r>
        <w:rPr>
          <w:rFonts w:ascii="Arial" w:hAnsi="Arial" w:cs="Arial"/>
          <w:lang w:val="en-GB"/>
        </w:rPr>
        <w:t>existing</w:t>
      </w:r>
      <w:r w:rsidRPr="006B1B16">
        <w:rPr>
          <w:rFonts w:ascii="Arial" w:hAnsi="Arial" w:cs="Arial"/>
          <w:lang w:val="en-GB"/>
        </w:rPr>
        <w:t xml:space="preserve"> MRLs </w:t>
      </w:r>
      <w:r>
        <w:rPr>
          <w:rFonts w:ascii="Arial" w:hAnsi="Arial" w:cs="Arial"/>
          <w:lang w:val="en-GB"/>
        </w:rPr>
        <w:t xml:space="preserve">for the need to support current uses </w:t>
      </w:r>
      <w:r w:rsidRPr="006B1B16">
        <w:rPr>
          <w:rFonts w:ascii="Arial" w:hAnsi="Arial" w:cs="Arial"/>
          <w:lang w:val="en-GB"/>
        </w:rPr>
        <w:t>and give proposals to MRL changes</w:t>
      </w:r>
      <w:r>
        <w:rPr>
          <w:rFonts w:ascii="Arial" w:hAnsi="Arial" w:cs="Arial"/>
          <w:lang w:val="en-GB"/>
        </w:rPr>
        <w:t>.</w:t>
      </w:r>
    </w:p>
    <w:p w14:paraId="32467819" w14:textId="4A0CAAD9" w:rsidR="00F41ABF" w:rsidRPr="006B1B16" w:rsidRDefault="00F41ABF" w:rsidP="00441133">
      <w:pPr>
        <w:spacing w:line="276" w:lineRule="auto"/>
        <w:jc w:val="both"/>
        <w:rPr>
          <w:rFonts w:ascii="Arial" w:hAnsi="Arial" w:cs="Arial"/>
          <w:lang w:val="en-GB"/>
        </w:rPr>
      </w:pPr>
      <w:r w:rsidRPr="006B1B16">
        <w:rPr>
          <w:rFonts w:ascii="Arial" w:hAnsi="Arial" w:cs="Arial"/>
          <w:lang w:val="en-GB"/>
        </w:rPr>
        <w:t>MRLs for pesticide residues are recommended to be lowered in the following cases:</w:t>
      </w:r>
    </w:p>
    <w:p w14:paraId="547A3305" w14:textId="70255212" w:rsidR="00F41ABF" w:rsidRPr="006B1B16" w:rsidRDefault="00F41ABF" w:rsidP="00441133">
      <w:pPr>
        <w:pStyle w:val="ListParagraph"/>
        <w:numPr>
          <w:ilvl w:val="0"/>
          <w:numId w:val="2"/>
        </w:numPr>
        <w:spacing w:line="276" w:lineRule="auto"/>
        <w:ind w:left="709" w:hanging="349"/>
        <w:jc w:val="both"/>
        <w:rPr>
          <w:rFonts w:ascii="Arial" w:hAnsi="Arial" w:cs="Arial"/>
          <w:lang w:val="en-GB"/>
        </w:rPr>
      </w:pPr>
      <w:r w:rsidRPr="006B1B16">
        <w:rPr>
          <w:rFonts w:ascii="Arial" w:hAnsi="Arial" w:cs="Arial"/>
          <w:lang w:val="en-GB"/>
        </w:rPr>
        <w:t xml:space="preserve">a pesticide (active substance) is no longer permitted in the </w:t>
      </w:r>
      <w:r w:rsidR="003C709C">
        <w:rPr>
          <w:rFonts w:ascii="Arial" w:hAnsi="Arial" w:cs="Arial"/>
          <w:lang w:val="en-GB"/>
        </w:rPr>
        <w:t>EU,</w:t>
      </w:r>
    </w:p>
    <w:p w14:paraId="6F041BC8" w14:textId="271EEE37" w:rsidR="00F41ABF" w:rsidRPr="006B1B16" w:rsidRDefault="00F41ABF" w:rsidP="00441133">
      <w:pPr>
        <w:pStyle w:val="ListParagraph"/>
        <w:numPr>
          <w:ilvl w:val="0"/>
          <w:numId w:val="2"/>
        </w:numPr>
        <w:spacing w:line="276" w:lineRule="auto"/>
        <w:ind w:left="709" w:hanging="349"/>
        <w:jc w:val="both"/>
        <w:rPr>
          <w:rFonts w:ascii="Arial" w:hAnsi="Arial" w:cs="Arial"/>
          <w:lang w:val="en-GB"/>
        </w:rPr>
      </w:pPr>
      <w:r w:rsidRPr="006B1B16">
        <w:rPr>
          <w:rFonts w:ascii="Arial" w:hAnsi="Arial" w:cs="Arial"/>
          <w:lang w:val="en-GB"/>
        </w:rPr>
        <w:t>a pesticide (active substance) is no longer used</w:t>
      </w:r>
      <w:r w:rsidR="00DA18C8">
        <w:rPr>
          <w:rFonts w:ascii="Arial" w:hAnsi="Arial" w:cs="Arial"/>
          <w:lang w:val="en-GB"/>
        </w:rPr>
        <w:t xml:space="preserve"> in the EU</w:t>
      </w:r>
      <w:r w:rsidRPr="006B1B16">
        <w:rPr>
          <w:rFonts w:ascii="Arial" w:hAnsi="Arial" w:cs="Arial"/>
          <w:lang w:val="en-GB"/>
        </w:rPr>
        <w:t>, either for a specific application or for crops in general</w:t>
      </w:r>
      <w:r w:rsidR="003C709C">
        <w:rPr>
          <w:rFonts w:ascii="Arial" w:hAnsi="Arial" w:cs="Arial"/>
          <w:lang w:val="en-GB"/>
        </w:rPr>
        <w:t>,</w:t>
      </w:r>
    </w:p>
    <w:p w14:paraId="0BAAC71D" w14:textId="68A58DE4" w:rsidR="00F41ABF" w:rsidRPr="006B1B16" w:rsidRDefault="00F41ABF" w:rsidP="00441133">
      <w:pPr>
        <w:pStyle w:val="ListParagraph"/>
        <w:numPr>
          <w:ilvl w:val="0"/>
          <w:numId w:val="2"/>
        </w:numPr>
        <w:spacing w:line="276" w:lineRule="auto"/>
        <w:ind w:left="709" w:hanging="349"/>
        <w:jc w:val="both"/>
        <w:rPr>
          <w:rFonts w:ascii="Arial" w:hAnsi="Arial" w:cs="Arial"/>
          <w:lang w:val="en-GB"/>
        </w:rPr>
      </w:pPr>
      <w:r w:rsidRPr="006B1B16">
        <w:rPr>
          <w:rFonts w:ascii="Arial" w:hAnsi="Arial" w:cs="Arial"/>
          <w:lang w:val="en-GB"/>
        </w:rPr>
        <w:t xml:space="preserve">pesticide </w:t>
      </w:r>
      <w:r w:rsidR="00DA18C8">
        <w:rPr>
          <w:rFonts w:ascii="Arial" w:hAnsi="Arial" w:cs="Arial"/>
          <w:lang w:val="en-GB"/>
        </w:rPr>
        <w:t xml:space="preserve">residues </w:t>
      </w:r>
      <w:r w:rsidR="00FC16CB" w:rsidRPr="006B1B16">
        <w:rPr>
          <w:rFonts w:ascii="Arial" w:hAnsi="Arial" w:cs="Arial"/>
          <w:lang w:val="en-GB"/>
        </w:rPr>
        <w:t>may lead to</w:t>
      </w:r>
      <w:r w:rsidRPr="006B1B16">
        <w:rPr>
          <w:rFonts w:ascii="Arial" w:hAnsi="Arial" w:cs="Arial"/>
          <w:lang w:val="en-GB"/>
        </w:rPr>
        <w:t xml:space="preserve"> a health risk</w:t>
      </w:r>
      <w:r w:rsidR="00FC16CB" w:rsidRPr="006B1B16">
        <w:rPr>
          <w:rFonts w:ascii="Arial" w:hAnsi="Arial" w:cs="Arial"/>
          <w:lang w:val="en-GB"/>
        </w:rPr>
        <w:t xml:space="preserve"> for consumers</w:t>
      </w:r>
      <w:r w:rsidRPr="006B1B16">
        <w:rPr>
          <w:rFonts w:ascii="Arial" w:hAnsi="Arial" w:cs="Arial"/>
          <w:lang w:val="en-GB"/>
        </w:rPr>
        <w:t>, either for a specific application or for crops in general</w:t>
      </w:r>
    </w:p>
    <w:p w14:paraId="488925A1" w14:textId="2798D12E" w:rsidR="00DA12D4" w:rsidRDefault="00DA12D4" w:rsidP="00441133">
      <w:pPr>
        <w:spacing w:line="276" w:lineRule="auto"/>
        <w:jc w:val="both"/>
        <w:rPr>
          <w:rFonts w:ascii="Arial" w:hAnsi="Arial" w:cs="Arial"/>
          <w:lang w:val="en-GB"/>
        </w:rPr>
      </w:pPr>
    </w:p>
    <w:p w14:paraId="340A7982" w14:textId="68B02505" w:rsidR="00DA12D4" w:rsidRPr="00DA12D4" w:rsidRDefault="00DA12D4" w:rsidP="00441133">
      <w:pPr>
        <w:spacing w:line="276" w:lineRule="auto"/>
        <w:jc w:val="both"/>
        <w:rPr>
          <w:rFonts w:ascii="Arial" w:hAnsi="Arial" w:cs="Arial"/>
          <w:u w:val="single"/>
          <w:lang w:val="en-GB"/>
        </w:rPr>
      </w:pPr>
      <w:r w:rsidRPr="00DA12D4">
        <w:rPr>
          <w:rFonts w:ascii="Arial" w:hAnsi="Arial" w:cs="Arial"/>
          <w:u w:val="single"/>
          <w:lang w:val="en-GB"/>
        </w:rPr>
        <w:t>Current approach when lowering MRLs</w:t>
      </w:r>
    </w:p>
    <w:p w14:paraId="09968752" w14:textId="480722A3" w:rsidR="003023B2" w:rsidRDefault="00AC4B1C" w:rsidP="00441133">
      <w:pPr>
        <w:spacing w:line="276" w:lineRule="auto"/>
        <w:jc w:val="both"/>
        <w:rPr>
          <w:rFonts w:ascii="Arial" w:hAnsi="Arial" w:cs="Arial"/>
          <w:lang w:val="en-GB"/>
        </w:rPr>
      </w:pPr>
      <w:r w:rsidRPr="00DA12D4">
        <w:rPr>
          <w:rFonts w:ascii="Arial" w:hAnsi="Arial" w:cs="Arial"/>
          <w:lang w:val="en-GB"/>
        </w:rPr>
        <w:t>For a</w:t>
      </w:r>
      <w:r w:rsidR="001E2223" w:rsidRPr="00DA12D4">
        <w:rPr>
          <w:rFonts w:ascii="Arial" w:hAnsi="Arial" w:cs="Arial"/>
          <w:lang w:val="en-GB"/>
        </w:rPr>
        <w:t xml:space="preserve">mending regulations when lowering MRLs </w:t>
      </w:r>
      <w:r w:rsidRPr="00DA12D4">
        <w:rPr>
          <w:rFonts w:ascii="Arial" w:hAnsi="Arial" w:cs="Arial"/>
          <w:lang w:val="en-GB"/>
        </w:rPr>
        <w:t xml:space="preserve">there are </w:t>
      </w:r>
      <w:r w:rsidR="001E2223" w:rsidRPr="00DA12D4">
        <w:rPr>
          <w:rFonts w:ascii="Arial" w:hAnsi="Arial" w:cs="Arial"/>
          <w:lang w:val="en-GB"/>
        </w:rPr>
        <w:t xml:space="preserve">currently two </w:t>
      </w:r>
      <w:r w:rsidRPr="00DA12D4">
        <w:rPr>
          <w:rFonts w:ascii="Arial" w:hAnsi="Arial" w:cs="Arial"/>
          <w:lang w:val="en-GB"/>
        </w:rPr>
        <w:t xml:space="preserve">options which are used by the </w:t>
      </w:r>
      <w:r w:rsidR="00091A38" w:rsidRPr="00DA12D4">
        <w:rPr>
          <w:rFonts w:ascii="Arial" w:hAnsi="Arial" w:cs="Arial"/>
          <w:lang w:val="en-GB"/>
        </w:rPr>
        <w:t xml:space="preserve">European </w:t>
      </w:r>
      <w:r w:rsidRPr="00DA12D4">
        <w:rPr>
          <w:rFonts w:ascii="Arial" w:hAnsi="Arial" w:cs="Arial"/>
          <w:lang w:val="en-GB"/>
        </w:rPr>
        <w:t>Commission</w:t>
      </w:r>
      <w:r w:rsidR="006C4CAB" w:rsidRPr="00DA12D4">
        <w:rPr>
          <w:rFonts w:ascii="Arial" w:hAnsi="Arial" w:cs="Arial"/>
          <w:lang w:val="en-GB"/>
        </w:rPr>
        <w:t>:</w:t>
      </w:r>
    </w:p>
    <w:p w14:paraId="148E68C2" w14:textId="77777777" w:rsidR="007E4B60" w:rsidRPr="00AE5E0B" w:rsidRDefault="007E4B60" w:rsidP="007E4B60">
      <w:pPr>
        <w:pStyle w:val="ListParagraph"/>
        <w:numPr>
          <w:ilvl w:val="0"/>
          <w:numId w:val="5"/>
        </w:numPr>
        <w:spacing w:line="276" w:lineRule="auto"/>
        <w:ind w:left="426"/>
        <w:jc w:val="both"/>
        <w:rPr>
          <w:rFonts w:ascii="Arial" w:hAnsi="Arial" w:cs="Arial"/>
          <w:lang w:val="en-GB"/>
        </w:rPr>
      </w:pPr>
      <w:r w:rsidRPr="00AE5E0B">
        <w:rPr>
          <w:rFonts w:ascii="Arial" w:hAnsi="Arial" w:cs="Arial"/>
          <w:lang w:val="en-GB"/>
        </w:rPr>
        <w:t xml:space="preserve">When the “old” MRL does not present a health risk for consumers: Option 1: Recital (x) and (y) </w:t>
      </w:r>
    </w:p>
    <w:p w14:paraId="726B789F" w14:textId="77777777" w:rsidR="005B7BAF" w:rsidRPr="005B7BAF" w:rsidRDefault="005B7BAF" w:rsidP="005B7BAF">
      <w:pPr>
        <w:spacing w:line="276" w:lineRule="auto"/>
        <w:ind w:left="709"/>
        <w:jc w:val="both"/>
        <w:rPr>
          <w:rFonts w:ascii="Arial" w:hAnsi="Arial" w:cs="Arial"/>
          <w:sz w:val="20"/>
          <w:szCs w:val="20"/>
        </w:rPr>
      </w:pPr>
      <w:r w:rsidRPr="005B7BAF">
        <w:rPr>
          <w:rFonts w:ascii="Arial" w:hAnsi="Arial" w:cs="Arial"/>
          <w:sz w:val="20"/>
          <w:szCs w:val="20"/>
          <w:lang w:val="en-GB"/>
        </w:rPr>
        <w:t xml:space="preserve">Recital </w:t>
      </w:r>
      <w:r w:rsidRPr="005B7BAF">
        <w:rPr>
          <w:rFonts w:ascii="Arial" w:hAnsi="Arial" w:cs="Arial"/>
          <w:sz w:val="20"/>
          <w:szCs w:val="20"/>
        </w:rPr>
        <w:t>(</w:t>
      </w:r>
      <w:r w:rsidRPr="005B7BAF">
        <w:rPr>
          <w:rFonts w:ascii="Arial" w:hAnsi="Arial" w:cs="Arial"/>
          <w:sz w:val="20"/>
          <w:szCs w:val="20"/>
          <w:lang w:val="en-GB"/>
        </w:rPr>
        <w:t>y</w:t>
      </w:r>
      <w:r w:rsidRPr="005B7BAF">
        <w:rPr>
          <w:rFonts w:ascii="Arial" w:hAnsi="Arial" w:cs="Arial"/>
          <w:sz w:val="20"/>
          <w:szCs w:val="20"/>
        </w:rPr>
        <w:t>)</w:t>
      </w:r>
      <w:r w:rsidRPr="005B7BAF">
        <w:rPr>
          <w:rFonts w:ascii="Arial" w:hAnsi="Arial" w:cs="Arial"/>
          <w:sz w:val="20"/>
          <w:szCs w:val="20"/>
          <w:lang w:val="en-GB"/>
        </w:rPr>
        <w:t>:</w:t>
      </w:r>
      <w:r w:rsidRPr="005B7BAF">
        <w:rPr>
          <w:rFonts w:ascii="Arial" w:hAnsi="Arial" w:cs="Arial"/>
          <w:sz w:val="20"/>
          <w:szCs w:val="20"/>
        </w:rPr>
        <w:t xml:space="preserve"> A reasonable period should be allowed to elapse before the modified MRLs become applicable in order to permit Member States, third countries and food business operators to prepare themselves to meet the new requirements which will result from the modification of the MRLs. </w:t>
      </w:r>
    </w:p>
    <w:p w14:paraId="0ED4118B" w14:textId="423186E2" w:rsidR="007E4B60" w:rsidRPr="00091A38" w:rsidRDefault="007E4B60" w:rsidP="007E4B60">
      <w:pPr>
        <w:spacing w:line="276" w:lineRule="auto"/>
        <w:ind w:left="720"/>
        <w:jc w:val="both"/>
        <w:rPr>
          <w:rFonts w:ascii="Arial" w:hAnsi="Arial" w:cs="Arial"/>
          <w:lang w:val="en-GB"/>
        </w:rPr>
      </w:pPr>
      <w:r w:rsidRPr="007E4B60">
        <w:rPr>
          <w:rFonts w:ascii="Arial" w:hAnsi="Arial" w:cs="Arial"/>
          <w:lang w:val="en-GB"/>
        </w:rPr>
        <w:t xml:space="preserve">-&gt; A deferral period will be granted before the new MRLs will become valid (usually 6 months) after the entry into force of the new MRL regulation (20 days after publication). Although also providing a </w:t>
      </w:r>
      <w:r w:rsidR="00CE600E">
        <w:rPr>
          <w:rFonts w:ascii="Arial" w:hAnsi="Arial" w:cs="Arial"/>
          <w:lang w:val="en-GB"/>
        </w:rPr>
        <w:t xml:space="preserve">certain </w:t>
      </w:r>
      <w:r w:rsidRPr="007E4B60">
        <w:rPr>
          <w:rFonts w:ascii="Arial" w:hAnsi="Arial" w:cs="Arial"/>
          <w:lang w:val="en-GB"/>
        </w:rPr>
        <w:t xml:space="preserve">transition time, </w:t>
      </w:r>
      <w:r>
        <w:rPr>
          <w:rFonts w:ascii="Arial" w:hAnsi="Arial" w:cs="Arial"/>
          <w:lang w:val="en-GB"/>
        </w:rPr>
        <w:t>a</w:t>
      </w:r>
      <w:r w:rsidRPr="007E4B60">
        <w:rPr>
          <w:rFonts w:ascii="Arial" w:hAnsi="Arial" w:cs="Arial"/>
          <w:lang w:val="en-GB"/>
        </w:rPr>
        <w:t xml:space="preserve"> "deferred application" of MRLs is something different from "transitional periods" from </w:t>
      </w:r>
      <w:r w:rsidR="00CE600E">
        <w:rPr>
          <w:rFonts w:ascii="Arial" w:hAnsi="Arial" w:cs="Arial"/>
          <w:lang w:val="en-GB"/>
        </w:rPr>
        <w:t>a legal point of view</w:t>
      </w:r>
      <w:r w:rsidRPr="007E4B60">
        <w:rPr>
          <w:rFonts w:ascii="Arial" w:hAnsi="Arial" w:cs="Arial"/>
          <w:lang w:val="en-GB"/>
        </w:rPr>
        <w:t>.</w:t>
      </w:r>
    </w:p>
    <w:p w14:paraId="257618F8" w14:textId="77777777" w:rsidR="005B7BAF" w:rsidRDefault="005B7BAF" w:rsidP="005B7BAF">
      <w:pPr>
        <w:spacing w:line="276" w:lineRule="auto"/>
        <w:ind w:left="720"/>
        <w:jc w:val="both"/>
        <w:rPr>
          <w:rFonts w:ascii="Arial" w:hAnsi="Arial" w:cs="Arial"/>
          <w:sz w:val="20"/>
          <w:szCs w:val="20"/>
        </w:rPr>
      </w:pPr>
      <w:r w:rsidRPr="00E244F1">
        <w:rPr>
          <w:rFonts w:ascii="Arial" w:hAnsi="Arial" w:cs="Arial"/>
          <w:sz w:val="20"/>
          <w:szCs w:val="20"/>
          <w:lang w:val="en-GB"/>
        </w:rPr>
        <w:t>Recital (x</w:t>
      </w:r>
      <w:r w:rsidRPr="00E244F1">
        <w:rPr>
          <w:rFonts w:ascii="Arial" w:hAnsi="Arial" w:cs="Arial"/>
          <w:sz w:val="20"/>
          <w:szCs w:val="20"/>
        </w:rPr>
        <w:t>)</w:t>
      </w:r>
      <w:r w:rsidRPr="00E244F1">
        <w:rPr>
          <w:rFonts w:ascii="Arial" w:hAnsi="Arial" w:cs="Arial"/>
          <w:sz w:val="20"/>
          <w:szCs w:val="20"/>
          <w:lang w:val="en-GB"/>
        </w:rPr>
        <w:t>:</w:t>
      </w:r>
      <w:r w:rsidRPr="00E244F1">
        <w:rPr>
          <w:rFonts w:ascii="Arial" w:hAnsi="Arial" w:cs="Arial"/>
          <w:sz w:val="20"/>
          <w:szCs w:val="20"/>
        </w:rPr>
        <w:t xml:space="preserve"> In order to allow for the normal marketing, processing and consumption of products, this Regulation should provide for a transitional arrangement for products which have been produced before the modification of the MRLs and for which information shows that a high level of consumer protection is maintained. </w:t>
      </w:r>
    </w:p>
    <w:p w14:paraId="5624D2DC" w14:textId="18D989AF" w:rsidR="007E4B60" w:rsidRPr="00091A38" w:rsidRDefault="007E4B60" w:rsidP="007E4B60">
      <w:pPr>
        <w:spacing w:line="276" w:lineRule="auto"/>
        <w:ind w:left="720"/>
        <w:jc w:val="both"/>
        <w:rPr>
          <w:rFonts w:ascii="Arial" w:hAnsi="Arial" w:cs="Arial"/>
          <w:lang w:val="en-GB"/>
        </w:rPr>
      </w:pPr>
      <w:r w:rsidRPr="00091A38">
        <w:rPr>
          <w:rFonts w:ascii="Arial" w:hAnsi="Arial" w:cs="Arial"/>
          <w:lang w:val="en-GB"/>
        </w:rPr>
        <w:t xml:space="preserve">-&gt; </w:t>
      </w:r>
      <w:r w:rsidRPr="00091A38">
        <w:rPr>
          <w:rFonts w:ascii="Arial" w:hAnsi="Arial" w:cs="Arial"/>
        </w:rPr>
        <w:t>Regulation (EC) No 396/2005 as it stood before being amended by this Regulation shall continue to apply to products which were produced in the Union or imported into the Union before</w:t>
      </w:r>
      <w:r w:rsidRPr="00091A38">
        <w:rPr>
          <w:rFonts w:ascii="Arial" w:hAnsi="Arial" w:cs="Arial"/>
          <w:lang w:val="en-GB"/>
        </w:rPr>
        <w:t xml:space="preserve"> the date the new MRLs apply (usually Article 2 of the amending regulation).</w:t>
      </w:r>
    </w:p>
    <w:p w14:paraId="5DBA1B29" w14:textId="4A45A931" w:rsidR="007E4B60" w:rsidRDefault="007E4B60" w:rsidP="005B7BAF">
      <w:pPr>
        <w:spacing w:line="276" w:lineRule="auto"/>
        <w:ind w:left="426"/>
        <w:jc w:val="both"/>
        <w:rPr>
          <w:rFonts w:ascii="Arial" w:hAnsi="Arial" w:cs="Arial"/>
          <w:lang w:val="en-GB"/>
        </w:rPr>
      </w:pPr>
      <w:r w:rsidRPr="005D6948">
        <w:rPr>
          <w:rFonts w:ascii="Arial" w:hAnsi="Arial" w:cs="Arial"/>
          <w:lang w:val="en-GB"/>
        </w:rPr>
        <w:t xml:space="preserve">In this case, </w:t>
      </w:r>
      <w:r>
        <w:rPr>
          <w:rFonts w:ascii="Arial" w:hAnsi="Arial" w:cs="Arial"/>
          <w:lang w:val="en-GB"/>
        </w:rPr>
        <w:t>products which have been produced or imported before the new MRLs apply can be marketed and processed until end of shelf life.</w:t>
      </w:r>
    </w:p>
    <w:p w14:paraId="47B0DA8C" w14:textId="77777777" w:rsidR="007E4B60" w:rsidRDefault="007E4B60" w:rsidP="007E4B60">
      <w:pPr>
        <w:spacing w:line="276" w:lineRule="auto"/>
        <w:ind w:left="720"/>
        <w:jc w:val="both"/>
        <w:rPr>
          <w:rFonts w:ascii="Arial" w:hAnsi="Arial" w:cs="Arial"/>
          <w:lang w:val="en-GB"/>
        </w:rPr>
      </w:pPr>
    </w:p>
    <w:p w14:paraId="66BD00DA" w14:textId="1706C1D6" w:rsidR="007E4B60" w:rsidRPr="00AE5E0B" w:rsidRDefault="007E4B60" w:rsidP="007E4B60">
      <w:pPr>
        <w:pStyle w:val="ListParagraph"/>
        <w:numPr>
          <w:ilvl w:val="0"/>
          <w:numId w:val="5"/>
        </w:numPr>
        <w:spacing w:line="276" w:lineRule="auto"/>
        <w:ind w:left="426"/>
        <w:jc w:val="both"/>
        <w:rPr>
          <w:rFonts w:ascii="Arial" w:hAnsi="Arial" w:cs="Arial"/>
          <w:lang w:val="en-GB"/>
        </w:rPr>
      </w:pPr>
      <w:r w:rsidRPr="00AE5E0B">
        <w:rPr>
          <w:rFonts w:ascii="Arial" w:hAnsi="Arial" w:cs="Arial"/>
          <w:lang w:val="en-GB"/>
        </w:rPr>
        <w:lastRenderedPageBreak/>
        <w:t>When the “old” MRL may present a health risk for consumers: Option 2: Recital (</w:t>
      </w:r>
      <w:r w:rsidR="005B7BAF">
        <w:rPr>
          <w:rFonts w:ascii="Arial" w:hAnsi="Arial" w:cs="Arial"/>
          <w:lang w:val="en-GB"/>
        </w:rPr>
        <w:t>y</w:t>
      </w:r>
      <w:r w:rsidRPr="00AE5E0B">
        <w:rPr>
          <w:rFonts w:ascii="Arial" w:hAnsi="Arial" w:cs="Arial"/>
          <w:lang w:val="en-GB"/>
        </w:rPr>
        <w:t>)</w:t>
      </w:r>
    </w:p>
    <w:p w14:paraId="205F6F71" w14:textId="77777777" w:rsidR="005B7BAF" w:rsidRPr="005B7BAF" w:rsidRDefault="005B7BAF" w:rsidP="005B7BAF">
      <w:pPr>
        <w:spacing w:line="276" w:lineRule="auto"/>
        <w:ind w:left="709"/>
        <w:jc w:val="both"/>
        <w:rPr>
          <w:rFonts w:ascii="Arial" w:hAnsi="Arial" w:cs="Arial"/>
          <w:sz w:val="20"/>
          <w:szCs w:val="20"/>
        </w:rPr>
      </w:pPr>
      <w:r w:rsidRPr="005B7BAF">
        <w:rPr>
          <w:rFonts w:ascii="Arial" w:hAnsi="Arial" w:cs="Arial"/>
          <w:sz w:val="20"/>
          <w:szCs w:val="20"/>
          <w:lang w:val="en-GB"/>
        </w:rPr>
        <w:t xml:space="preserve">Recital </w:t>
      </w:r>
      <w:r w:rsidRPr="005B7BAF">
        <w:rPr>
          <w:rFonts w:ascii="Arial" w:hAnsi="Arial" w:cs="Arial"/>
          <w:sz w:val="20"/>
          <w:szCs w:val="20"/>
        </w:rPr>
        <w:t>(</w:t>
      </w:r>
      <w:r w:rsidRPr="005B7BAF">
        <w:rPr>
          <w:rFonts w:ascii="Arial" w:hAnsi="Arial" w:cs="Arial"/>
          <w:sz w:val="20"/>
          <w:szCs w:val="20"/>
          <w:lang w:val="en-GB"/>
        </w:rPr>
        <w:t>y</w:t>
      </w:r>
      <w:r w:rsidRPr="005B7BAF">
        <w:rPr>
          <w:rFonts w:ascii="Arial" w:hAnsi="Arial" w:cs="Arial"/>
          <w:sz w:val="20"/>
          <w:szCs w:val="20"/>
        </w:rPr>
        <w:t>)</w:t>
      </w:r>
      <w:r w:rsidRPr="005B7BAF">
        <w:rPr>
          <w:rFonts w:ascii="Arial" w:hAnsi="Arial" w:cs="Arial"/>
          <w:sz w:val="20"/>
          <w:szCs w:val="20"/>
          <w:lang w:val="en-GB"/>
        </w:rPr>
        <w:t>:</w:t>
      </w:r>
      <w:r w:rsidRPr="005B7BAF">
        <w:rPr>
          <w:rFonts w:ascii="Arial" w:hAnsi="Arial" w:cs="Arial"/>
          <w:sz w:val="20"/>
          <w:szCs w:val="20"/>
        </w:rPr>
        <w:t xml:space="preserve"> A reasonable period should be allowed to elapse before the modified MRLs become applicable in order to permit Member States, third countries and food business operators to prepare themselves to meet the new requirements which will result from the modification of the MRLs. </w:t>
      </w:r>
    </w:p>
    <w:p w14:paraId="7349B2F1" w14:textId="37D36441" w:rsidR="007E4B60" w:rsidRDefault="007E4B60" w:rsidP="007E4B60">
      <w:pPr>
        <w:spacing w:line="276" w:lineRule="auto"/>
        <w:ind w:left="720"/>
        <w:jc w:val="both"/>
        <w:rPr>
          <w:rFonts w:ascii="Arial" w:hAnsi="Arial" w:cs="Arial"/>
          <w:lang w:val="en-GB"/>
        </w:rPr>
      </w:pPr>
      <w:r w:rsidRPr="00091A38">
        <w:rPr>
          <w:rFonts w:ascii="Arial" w:hAnsi="Arial" w:cs="Arial"/>
          <w:lang w:val="en-GB"/>
        </w:rPr>
        <w:t>-&gt; A deferral period will be granted before the new MRLs will become valid (usually 6 months).</w:t>
      </w:r>
    </w:p>
    <w:p w14:paraId="6D62C55A" w14:textId="157C0F9D" w:rsidR="007E4B60" w:rsidRPr="00AC4B1C" w:rsidRDefault="007E4B60" w:rsidP="00472E4C">
      <w:pPr>
        <w:spacing w:line="276" w:lineRule="auto"/>
        <w:ind w:left="426"/>
        <w:jc w:val="both"/>
        <w:rPr>
          <w:rFonts w:ascii="Arial" w:hAnsi="Arial" w:cs="Arial"/>
          <w:u w:val="single"/>
          <w:lang w:val="en-GB"/>
        </w:rPr>
      </w:pPr>
      <w:r>
        <w:rPr>
          <w:rFonts w:ascii="Arial" w:hAnsi="Arial" w:cs="Arial"/>
          <w:lang w:val="en-GB"/>
        </w:rPr>
        <w:t>In this case, the new MRLs become directly applicable after the end of the deferral period of the amending regulation. This is true for raw materials, ingredients and end-products independent of their shelf life. Products lawfully produced or imported before become non-compliant when they do not meet the new MRLs.</w:t>
      </w:r>
    </w:p>
    <w:p w14:paraId="458FEB0C" w14:textId="68967E20" w:rsidR="006C4CAB" w:rsidRDefault="006C4CAB" w:rsidP="00441133">
      <w:pPr>
        <w:spacing w:line="276" w:lineRule="auto"/>
        <w:jc w:val="both"/>
        <w:rPr>
          <w:rFonts w:ascii="Arial" w:hAnsi="Arial" w:cs="Arial"/>
          <w:u w:val="single"/>
          <w:lang w:val="en-GB"/>
        </w:rPr>
      </w:pPr>
    </w:p>
    <w:p w14:paraId="01D5329C" w14:textId="7ADAA293" w:rsidR="00FC16CB" w:rsidRDefault="00B42137" w:rsidP="00441133">
      <w:pPr>
        <w:spacing w:line="276" w:lineRule="auto"/>
        <w:jc w:val="both"/>
        <w:rPr>
          <w:rFonts w:ascii="Arial" w:hAnsi="Arial" w:cs="Arial"/>
          <w:u w:val="single"/>
          <w:lang w:val="en-GB"/>
        </w:rPr>
      </w:pPr>
      <w:r w:rsidRPr="006B1B16">
        <w:rPr>
          <w:rFonts w:ascii="Arial" w:hAnsi="Arial" w:cs="Arial"/>
          <w:u w:val="single"/>
          <w:lang w:val="en-GB"/>
        </w:rPr>
        <w:t>Problems that arise from the c</w:t>
      </w:r>
      <w:r w:rsidR="00267F78" w:rsidRPr="006B1B16">
        <w:rPr>
          <w:rFonts w:ascii="Arial" w:hAnsi="Arial" w:cs="Arial"/>
          <w:u w:val="single"/>
          <w:lang w:val="en-GB"/>
        </w:rPr>
        <w:t>urrent approach</w:t>
      </w:r>
    </w:p>
    <w:p w14:paraId="0F5221D6" w14:textId="3D72716A" w:rsidR="007A0266" w:rsidRPr="007A0266" w:rsidRDefault="051057AC" w:rsidP="39FB3147">
      <w:pPr>
        <w:spacing w:line="276" w:lineRule="auto"/>
        <w:jc w:val="both"/>
        <w:rPr>
          <w:rFonts w:ascii="Arial" w:hAnsi="Arial" w:cs="Arial"/>
          <w:lang w:val="en-GB"/>
        </w:rPr>
      </w:pPr>
      <w:r w:rsidRPr="39FB3147">
        <w:rPr>
          <w:rFonts w:ascii="Arial" w:hAnsi="Arial" w:cs="Arial"/>
          <w:lang w:val="en-GB"/>
        </w:rPr>
        <w:t xml:space="preserve">When active </w:t>
      </w:r>
      <w:r w:rsidR="2DA16B17" w:rsidRPr="39FB3147">
        <w:rPr>
          <w:rFonts w:ascii="Arial" w:hAnsi="Arial" w:cs="Arial"/>
          <w:lang w:val="en-GB"/>
        </w:rPr>
        <w:t>substances are not re</w:t>
      </w:r>
      <w:r w:rsidR="00D84480">
        <w:rPr>
          <w:rFonts w:ascii="Arial" w:hAnsi="Arial" w:cs="Arial"/>
          <w:lang w:val="en-GB"/>
        </w:rPr>
        <w:t xml:space="preserve">newed </w:t>
      </w:r>
      <w:r w:rsidR="15B058AC" w:rsidRPr="39FB3147">
        <w:rPr>
          <w:rFonts w:ascii="Arial" w:hAnsi="Arial" w:cs="Arial"/>
          <w:lang w:val="en-GB"/>
        </w:rPr>
        <w:t>in the EU</w:t>
      </w:r>
      <w:r w:rsidR="2DA16B17" w:rsidRPr="39FB3147">
        <w:rPr>
          <w:rFonts w:ascii="Arial" w:hAnsi="Arial" w:cs="Arial"/>
          <w:lang w:val="en-GB"/>
        </w:rPr>
        <w:t xml:space="preserve">, </w:t>
      </w:r>
      <w:r w:rsidR="00D84480">
        <w:rPr>
          <w:rFonts w:ascii="Arial" w:hAnsi="Arial" w:cs="Arial"/>
          <w:lang w:val="en-GB"/>
        </w:rPr>
        <w:t xml:space="preserve">national authorisations are revoked and </w:t>
      </w:r>
      <w:r w:rsidR="2DA16B17" w:rsidRPr="39FB3147">
        <w:rPr>
          <w:rFonts w:ascii="Arial" w:hAnsi="Arial" w:cs="Arial"/>
          <w:lang w:val="en-GB"/>
        </w:rPr>
        <w:t xml:space="preserve">agricultural practices in </w:t>
      </w:r>
      <w:r w:rsidR="15B058AC" w:rsidRPr="39FB3147">
        <w:rPr>
          <w:rFonts w:ascii="Arial" w:hAnsi="Arial" w:cs="Arial"/>
          <w:lang w:val="en-GB"/>
        </w:rPr>
        <w:t xml:space="preserve">the </w:t>
      </w:r>
      <w:r w:rsidR="2DA16B17" w:rsidRPr="39FB3147">
        <w:rPr>
          <w:rFonts w:ascii="Arial" w:hAnsi="Arial" w:cs="Arial"/>
          <w:lang w:val="en-GB"/>
        </w:rPr>
        <w:t xml:space="preserve">EU will have to be adjusted accordingly. </w:t>
      </w:r>
      <w:r w:rsidR="00F85744">
        <w:rPr>
          <w:rFonts w:ascii="Arial" w:hAnsi="Arial" w:cs="Arial"/>
          <w:lang w:val="en-GB"/>
        </w:rPr>
        <w:t xml:space="preserve">Third </w:t>
      </w:r>
      <w:r w:rsidR="00D84480">
        <w:rPr>
          <w:rFonts w:ascii="Arial" w:hAnsi="Arial" w:cs="Arial"/>
          <w:lang w:val="en-GB"/>
        </w:rPr>
        <w:t>C</w:t>
      </w:r>
      <w:r w:rsidR="00F85744">
        <w:rPr>
          <w:rFonts w:ascii="Arial" w:hAnsi="Arial" w:cs="Arial"/>
          <w:lang w:val="en-GB"/>
        </w:rPr>
        <w:t>ountries</w:t>
      </w:r>
      <w:r w:rsidR="00472E4C">
        <w:rPr>
          <w:rFonts w:ascii="Arial" w:hAnsi="Arial" w:cs="Arial"/>
          <w:lang w:val="en-GB"/>
        </w:rPr>
        <w:t xml:space="preserve"> </w:t>
      </w:r>
      <w:r w:rsidR="00D84480">
        <w:rPr>
          <w:rFonts w:ascii="Arial" w:hAnsi="Arial" w:cs="Arial"/>
          <w:lang w:val="en-GB"/>
        </w:rPr>
        <w:t xml:space="preserve">must also adapt their agricultural practices to the new MRLs, especially </w:t>
      </w:r>
      <w:r w:rsidR="00CE600E">
        <w:rPr>
          <w:rFonts w:ascii="Arial" w:hAnsi="Arial" w:cs="Arial"/>
          <w:lang w:val="en-GB"/>
        </w:rPr>
        <w:t xml:space="preserve">when there is no </w:t>
      </w:r>
      <w:r w:rsidR="15B058AC" w:rsidRPr="39FB3147">
        <w:rPr>
          <w:rFonts w:ascii="Arial" w:hAnsi="Arial" w:cs="Arial"/>
          <w:lang w:val="en-GB"/>
        </w:rPr>
        <w:t xml:space="preserve">Codex MRL (CXL) </w:t>
      </w:r>
      <w:r w:rsidR="00CE600E">
        <w:rPr>
          <w:rFonts w:ascii="Arial" w:hAnsi="Arial" w:cs="Arial"/>
          <w:lang w:val="en-GB"/>
        </w:rPr>
        <w:t xml:space="preserve">which has been </w:t>
      </w:r>
      <w:r w:rsidR="005722B6">
        <w:rPr>
          <w:rFonts w:ascii="Arial" w:hAnsi="Arial" w:cs="Arial"/>
          <w:lang w:val="en-GB"/>
        </w:rPr>
        <w:t xml:space="preserve">considered acceptable </w:t>
      </w:r>
      <w:r w:rsidR="15B058AC" w:rsidRPr="39FB3147">
        <w:rPr>
          <w:rFonts w:ascii="Arial" w:hAnsi="Arial" w:cs="Arial"/>
          <w:lang w:val="en-GB"/>
        </w:rPr>
        <w:t xml:space="preserve">by the EU </w:t>
      </w:r>
      <w:r w:rsidR="00CE600E">
        <w:rPr>
          <w:rFonts w:ascii="Arial" w:hAnsi="Arial" w:cs="Arial"/>
          <w:lang w:val="en-GB"/>
        </w:rPr>
        <w:t xml:space="preserve">or an </w:t>
      </w:r>
      <w:r w:rsidR="00644834" w:rsidRPr="00644834">
        <w:rPr>
          <w:rFonts w:ascii="Arial" w:hAnsi="Arial" w:cs="Arial"/>
          <w:lang w:val="en-GB"/>
        </w:rPr>
        <w:t>import tolerance</w:t>
      </w:r>
      <w:r w:rsidR="00CE600E">
        <w:rPr>
          <w:rFonts w:ascii="Arial" w:hAnsi="Arial" w:cs="Arial"/>
          <w:lang w:val="en-GB"/>
        </w:rPr>
        <w:t xml:space="preserve"> for the specific pesticide-commodity combination is missing</w:t>
      </w:r>
      <w:r w:rsidR="00D84480">
        <w:rPr>
          <w:rFonts w:ascii="Arial" w:hAnsi="Arial" w:cs="Arial"/>
          <w:lang w:val="en-GB"/>
        </w:rPr>
        <w:t>.</w:t>
      </w:r>
    </w:p>
    <w:p w14:paraId="35F1308F" w14:textId="3717A376" w:rsidR="00D84480" w:rsidRPr="00D84480" w:rsidRDefault="58797BE6" w:rsidP="00D84480">
      <w:pPr>
        <w:spacing w:line="276" w:lineRule="auto"/>
        <w:jc w:val="both"/>
        <w:rPr>
          <w:rFonts w:ascii="Arial" w:hAnsi="Arial" w:cs="Arial"/>
          <w:lang w:val="en-GB"/>
        </w:rPr>
      </w:pPr>
      <w:r w:rsidRPr="39FB3147">
        <w:rPr>
          <w:rFonts w:ascii="Arial" w:hAnsi="Arial" w:cs="Arial"/>
          <w:lang w:val="en-GB"/>
        </w:rPr>
        <w:t>For most crops there is only one harvest per year</w:t>
      </w:r>
      <w:r w:rsidR="15B058AC" w:rsidRPr="39FB3147">
        <w:rPr>
          <w:rFonts w:ascii="Arial" w:hAnsi="Arial" w:cs="Arial"/>
          <w:lang w:val="en-GB"/>
        </w:rPr>
        <w:t xml:space="preserve">. </w:t>
      </w:r>
      <w:r w:rsidR="00644834" w:rsidRPr="39FB3147">
        <w:rPr>
          <w:rFonts w:ascii="Arial" w:hAnsi="Arial" w:cs="Arial"/>
          <w:lang w:val="en-GB"/>
        </w:rPr>
        <w:t xml:space="preserve">At the time of </w:t>
      </w:r>
      <w:r w:rsidR="008C6A58" w:rsidRPr="39FB3147">
        <w:rPr>
          <w:rFonts w:ascii="Arial" w:hAnsi="Arial" w:cs="Arial"/>
          <w:lang w:val="en-GB"/>
        </w:rPr>
        <w:t>application,</w:t>
      </w:r>
      <w:r w:rsidR="00644834" w:rsidRPr="39FB3147">
        <w:rPr>
          <w:rFonts w:ascii="Arial" w:hAnsi="Arial" w:cs="Arial"/>
          <w:lang w:val="en-GB"/>
        </w:rPr>
        <w:t xml:space="preserve"> </w:t>
      </w:r>
      <w:r w:rsidR="008C6A58">
        <w:rPr>
          <w:rFonts w:ascii="Arial" w:hAnsi="Arial" w:cs="Arial"/>
          <w:lang w:val="en-GB"/>
        </w:rPr>
        <w:t xml:space="preserve">the </w:t>
      </w:r>
      <w:r w:rsidR="00644834" w:rsidRPr="39FB3147">
        <w:rPr>
          <w:rFonts w:ascii="Arial" w:hAnsi="Arial" w:cs="Arial"/>
          <w:lang w:val="en-GB"/>
        </w:rPr>
        <w:t xml:space="preserve">use of the plant protection product </w:t>
      </w:r>
      <w:r w:rsidR="005B6E1D">
        <w:rPr>
          <w:rFonts w:ascii="Arial" w:hAnsi="Arial" w:cs="Arial"/>
          <w:lang w:val="en-GB"/>
        </w:rPr>
        <w:t>has</w:t>
      </w:r>
      <w:r w:rsidR="00644834" w:rsidRPr="39FB3147">
        <w:rPr>
          <w:rFonts w:ascii="Arial" w:hAnsi="Arial" w:cs="Arial"/>
          <w:lang w:val="en-GB"/>
        </w:rPr>
        <w:t xml:space="preserve"> been a legal and compliant use. </w:t>
      </w:r>
      <w:r w:rsidR="005722B6">
        <w:rPr>
          <w:rFonts w:ascii="Arial" w:hAnsi="Arial" w:cs="Arial"/>
          <w:lang w:val="en-GB"/>
        </w:rPr>
        <w:t xml:space="preserve">Where MRL changes occur post-application, farmers may be unable to export that crop, potentially threatening the livelihoods of farmers, causing food waste, and reducing the </w:t>
      </w:r>
      <w:r w:rsidR="005B6E1D">
        <w:rPr>
          <w:rFonts w:ascii="Arial" w:hAnsi="Arial" w:cs="Arial"/>
          <w:lang w:val="en-GB"/>
        </w:rPr>
        <w:t>availability of fresh products and compliant raw materials</w:t>
      </w:r>
      <w:r w:rsidR="00644834" w:rsidRPr="39FB3147">
        <w:rPr>
          <w:rFonts w:ascii="Arial" w:hAnsi="Arial" w:cs="Arial"/>
          <w:lang w:val="en-GB"/>
        </w:rPr>
        <w:t xml:space="preserve">. </w:t>
      </w:r>
      <w:r w:rsidR="00D84480" w:rsidRPr="00D84480">
        <w:t xml:space="preserve"> </w:t>
      </w:r>
    </w:p>
    <w:p w14:paraId="6711C02F" w14:textId="6F7E23D5" w:rsidR="009C4D1F" w:rsidRDefault="009C4D1F" w:rsidP="00441133">
      <w:pPr>
        <w:spacing w:line="276" w:lineRule="auto"/>
        <w:jc w:val="both"/>
        <w:rPr>
          <w:rFonts w:ascii="Arial" w:hAnsi="Arial" w:cs="Arial"/>
          <w:lang w:val="en-GB"/>
        </w:rPr>
      </w:pPr>
      <w:r w:rsidRPr="00644834">
        <w:rPr>
          <w:rFonts w:ascii="Arial" w:hAnsi="Arial" w:cs="Arial"/>
          <w:lang w:val="en-GB"/>
        </w:rPr>
        <w:t>When active substances are banned that are effective against EU priority pests</w:t>
      </w:r>
      <w:r>
        <w:rPr>
          <w:rFonts w:ascii="Arial" w:hAnsi="Arial" w:cs="Arial"/>
          <w:lang w:val="en-GB"/>
        </w:rPr>
        <w:t xml:space="preserve"> (</w:t>
      </w:r>
      <w:hyperlink r:id="rId11" w:history="1">
        <w:r w:rsidRPr="00644834">
          <w:rPr>
            <w:rStyle w:val="Hyperlink"/>
            <w:rFonts w:ascii="Arial" w:hAnsi="Arial" w:cs="Arial"/>
            <w:lang w:val="en-GB"/>
          </w:rPr>
          <w:t>link</w:t>
        </w:r>
      </w:hyperlink>
      <w:r>
        <w:rPr>
          <w:rFonts w:ascii="Arial" w:hAnsi="Arial" w:cs="Arial"/>
          <w:lang w:val="en-GB"/>
        </w:rPr>
        <w:t>)</w:t>
      </w:r>
      <w:r w:rsidRPr="00644834">
        <w:rPr>
          <w:rFonts w:ascii="Arial" w:hAnsi="Arial" w:cs="Arial"/>
          <w:lang w:val="en-GB"/>
        </w:rPr>
        <w:t>, without there being an effective alternative, the EU territory and food supply chain risk being confronted with big losses in the agricultural production sector, and consequently in the food industry as a big customer of that sector. On request of the EU Commission</w:t>
      </w:r>
      <w:r>
        <w:rPr>
          <w:rStyle w:val="FootnoteReference"/>
          <w:rFonts w:ascii="Arial" w:hAnsi="Arial" w:cs="Arial"/>
          <w:lang w:val="en-GB"/>
        </w:rPr>
        <w:footnoteReference w:id="1"/>
      </w:r>
      <w:r>
        <w:rPr>
          <w:rFonts w:ascii="Arial" w:hAnsi="Arial" w:cs="Arial"/>
          <w:lang w:val="en-GB"/>
        </w:rPr>
        <w:t>)</w:t>
      </w:r>
      <w:r w:rsidRPr="00644834">
        <w:rPr>
          <w:rFonts w:ascii="Arial" w:hAnsi="Arial" w:cs="Arial"/>
          <w:lang w:val="en-GB"/>
        </w:rPr>
        <w:t>, EFSA’s monthly Plant Health newsletter</w:t>
      </w:r>
      <w:r>
        <w:rPr>
          <w:rFonts w:ascii="Arial" w:hAnsi="Arial" w:cs="Arial"/>
          <w:lang w:val="en-GB"/>
        </w:rPr>
        <w:t xml:space="preserve"> (</w:t>
      </w:r>
      <w:hyperlink r:id="rId12" w:history="1">
        <w:r w:rsidRPr="00644834">
          <w:rPr>
            <w:rStyle w:val="Hyperlink"/>
            <w:rFonts w:ascii="Arial" w:hAnsi="Arial" w:cs="Arial"/>
            <w:lang w:val="en-GB"/>
          </w:rPr>
          <w:t>link</w:t>
        </w:r>
      </w:hyperlink>
      <w:r>
        <w:rPr>
          <w:rFonts w:ascii="Arial" w:hAnsi="Arial" w:cs="Arial"/>
          <w:lang w:val="en-GB"/>
        </w:rPr>
        <w:t>)</w:t>
      </w:r>
      <w:r w:rsidRPr="00644834">
        <w:rPr>
          <w:rFonts w:ascii="Arial" w:hAnsi="Arial" w:cs="Arial"/>
          <w:lang w:val="en-GB"/>
        </w:rPr>
        <w:t xml:space="preserve"> is aiming at identifying the relevant information on plant  pests that might be of concern for the EU and therefore may require consideration by risk assessors and risk managers</w:t>
      </w:r>
      <w:r>
        <w:rPr>
          <w:rFonts w:ascii="Arial" w:hAnsi="Arial" w:cs="Arial"/>
          <w:lang w:val="en-GB"/>
        </w:rPr>
        <w:t>.</w:t>
      </w:r>
    </w:p>
    <w:p w14:paraId="47E9E468" w14:textId="4C908AE3" w:rsidR="006B1B16" w:rsidRPr="006B1B16" w:rsidRDefault="39250D0A" w:rsidP="00441133">
      <w:pPr>
        <w:spacing w:line="276" w:lineRule="auto"/>
        <w:jc w:val="both"/>
        <w:rPr>
          <w:rFonts w:ascii="Arial" w:hAnsi="Arial" w:cs="Arial"/>
          <w:lang w:val="en-GB"/>
        </w:rPr>
      </w:pPr>
      <w:r w:rsidRPr="39FB3147">
        <w:rPr>
          <w:rFonts w:ascii="Arial" w:hAnsi="Arial" w:cs="Arial"/>
          <w:lang w:val="en-GB"/>
        </w:rPr>
        <w:t xml:space="preserve">For many </w:t>
      </w:r>
      <w:r w:rsidR="27174D3F" w:rsidRPr="39FB3147">
        <w:rPr>
          <w:rFonts w:ascii="Arial" w:hAnsi="Arial" w:cs="Arial"/>
          <w:lang w:val="en-GB"/>
        </w:rPr>
        <w:t>commodities</w:t>
      </w:r>
      <w:r w:rsidRPr="39FB3147">
        <w:rPr>
          <w:rFonts w:ascii="Arial" w:hAnsi="Arial" w:cs="Arial"/>
          <w:lang w:val="en-GB"/>
        </w:rPr>
        <w:t xml:space="preserve">, first processing steps (e.g. drying, washing, cutting, freezing) </w:t>
      </w:r>
      <w:r w:rsidR="005722B6">
        <w:rPr>
          <w:rFonts w:ascii="Arial" w:hAnsi="Arial" w:cs="Arial"/>
          <w:lang w:val="en-GB"/>
        </w:rPr>
        <w:t>are undertaken</w:t>
      </w:r>
      <w:r w:rsidR="005722B6" w:rsidRPr="39FB3147">
        <w:rPr>
          <w:rFonts w:ascii="Arial" w:hAnsi="Arial" w:cs="Arial"/>
          <w:lang w:val="en-GB"/>
        </w:rPr>
        <w:t xml:space="preserve"> </w:t>
      </w:r>
      <w:r w:rsidRPr="39FB3147">
        <w:rPr>
          <w:rFonts w:ascii="Arial" w:hAnsi="Arial" w:cs="Arial"/>
          <w:lang w:val="en-GB"/>
        </w:rPr>
        <w:t xml:space="preserve">in the country </w:t>
      </w:r>
      <w:r w:rsidR="39E5204F" w:rsidRPr="39FB3147">
        <w:rPr>
          <w:rFonts w:ascii="Arial" w:hAnsi="Arial" w:cs="Arial"/>
          <w:lang w:val="en-GB"/>
        </w:rPr>
        <w:t xml:space="preserve">where </w:t>
      </w:r>
      <w:r w:rsidR="27174D3F" w:rsidRPr="39FB3147">
        <w:rPr>
          <w:rFonts w:ascii="Arial" w:hAnsi="Arial" w:cs="Arial"/>
          <w:lang w:val="en-GB"/>
        </w:rPr>
        <w:t xml:space="preserve">the crop is cultivated. These raw materials are often </w:t>
      </w:r>
      <w:r w:rsidR="1F18E887" w:rsidRPr="39FB3147">
        <w:rPr>
          <w:rFonts w:ascii="Arial" w:hAnsi="Arial" w:cs="Arial"/>
          <w:lang w:val="en-GB"/>
        </w:rPr>
        <w:t xml:space="preserve">also </w:t>
      </w:r>
      <w:r w:rsidR="27174D3F" w:rsidRPr="39FB3147">
        <w:rPr>
          <w:rFonts w:ascii="Arial" w:hAnsi="Arial" w:cs="Arial"/>
          <w:lang w:val="en-GB"/>
        </w:rPr>
        <w:t xml:space="preserve">stored in this country </w:t>
      </w:r>
      <w:r w:rsidR="58797BE6" w:rsidRPr="39FB3147">
        <w:rPr>
          <w:rFonts w:ascii="Arial" w:hAnsi="Arial" w:cs="Arial"/>
          <w:lang w:val="en-GB"/>
        </w:rPr>
        <w:t xml:space="preserve">and sold to the food chain partners on demand to guarantee the supply of consumers with food over the whole year. </w:t>
      </w:r>
      <w:r w:rsidR="005722B6">
        <w:rPr>
          <w:rFonts w:ascii="Arial" w:hAnsi="Arial" w:cs="Arial"/>
          <w:lang w:val="en-GB"/>
        </w:rPr>
        <w:t xml:space="preserve">A </w:t>
      </w:r>
      <w:r w:rsidR="00B574DF">
        <w:rPr>
          <w:rFonts w:ascii="Arial" w:hAnsi="Arial" w:cs="Arial"/>
          <w:lang w:val="en-GB"/>
        </w:rPr>
        <w:t xml:space="preserve">part </w:t>
      </w:r>
      <w:r w:rsidR="27174D3F" w:rsidRPr="39FB3147">
        <w:rPr>
          <w:rFonts w:ascii="Arial" w:hAnsi="Arial" w:cs="Arial"/>
          <w:lang w:val="en-GB"/>
        </w:rPr>
        <w:t xml:space="preserve">of these raw materials, </w:t>
      </w:r>
      <w:r w:rsidR="1F18E887" w:rsidRPr="39FB3147">
        <w:rPr>
          <w:rFonts w:ascii="Arial" w:hAnsi="Arial" w:cs="Arial"/>
          <w:lang w:val="en-GB"/>
        </w:rPr>
        <w:t xml:space="preserve">they stay in the country of cultivation </w:t>
      </w:r>
      <w:r w:rsidR="27174D3F" w:rsidRPr="39FB3147">
        <w:rPr>
          <w:rFonts w:ascii="Arial" w:hAnsi="Arial" w:cs="Arial"/>
          <w:lang w:val="en-GB"/>
        </w:rPr>
        <w:t xml:space="preserve">until the next harvest. </w:t>
      </w:r>
      <w:r w:rsidR="1F18E887" w:rsidRPr="39FB3147">
        <w:rPr>
          <w:rFonts w:ascii="Arial" w:hAnsi="Arial" w:cs="Arial"/>
          <w:lang w:val="en-GB"/>
        </w:rPr>
        <w:t>In addition, i</w:t>
      </w:r>
      <w:r w:rsidR="507A34FA" w:rsidRPr="39FB3147">
        <w:rPr>
          <w:rFonts w:ascii="Arial" w:hAnsi="Arial" w:cs="Arial"/>
          <w:lang w:val="en-GB"/>
        </w:rPr>
        <w:t xml:space="preserve">n the case of </w:t>
      </w:r>
      <w:r w:rsidR="3667B0C3" w:rsidRPr="39FB3147">
        <w:rPr>
          <w:rFonts w:ascii="Arial" w:hAnsi="Arial" w:cs="Arial"/>
          <w:lang w:val="en-GB"/>
        </w:rPr>
        <w:t>third</w:t>
      </w:r>
      <w:r w:rsidR="507A34FA" w:rsidRPr="39FB3147">
        <w:rPr>
          <w:rFonts w:ascii="Arial" w:hAnsi="Arial" w:cs="Arial"/>
          <w:lang w:val="en-GB"/>
        </w:rPr>
        <w:t xml:space="preserve"> countries, considerable time can elapse between the production of raw materials, </w:t>
      </w:r>
      <w:r w:rsidR="27174D3F" w:rsidRPr="39FB3147">
        <w:rPr>
          <w:rFonts w:ascii="Arial" w:hAnsi="Arial" w:cs="Arial"/>
          <w:lang w:val="en-GB"/>
        </w:rPr>
        <w:t xml:space="preserve">ingredients </w:t>
      </w:r>
      <w:r w:rsidR="507A34FA" w:rsidRPr="39FB3147">
        <w:rPr>
          <w:rFonts w:ascii="Arial" w:hAnsi="Arial" w:cs="Arial"/>
          <w:lang w:val="en-GB"/>
        </w:rPr>
        <w:t>and end-</w:t>
      </w:r>
      <w:r w:rsidR="507A34FA" w:rsidRPr="39FB3147">
        <w:rPr>
          <w:rFonts w:ascii="Arial" w:hAnsi="Arial" w:cs="Arial"/>
          <w:lang w:val="en-GB"/>
        </w:rPr>
        <w:lastRenderedPageBreak/>
        <w:t>products in conformity with EU practices and their transport to the EU for processing and marketing.</w:t>
      </w:r>
    </w:p>
    <w:p w14:paraId="68333864" w14:textId="37523A74" w:rsidR="002B3C75" w:rsidRDefault="006A3567" w:rsidP="00441133">
      <w:pPr>
        <w:spacing w:line="276" w:lineRule="auto"/>
        <w:jc w:val="both"/>
        <w:rPr>
          <w:rFonts w:ascii="Arial" w:hAnsi="Arial" w:cs="Arial"/>
          <w:lang w:val="en-GB"/>
        </w:rPr>
      </w:pPr>
      <w:r>
        <w:rPr>
          <w:rFonts w:ascii="Arial" w:hAnsi="Arial" w:cs="Arial"/>
          <w:lang w:val="en-GB"/>
        </w:rPr>
        <w:t xml:space="preserve">When </w:t>
      </w:r>
      <w:r w:rsidR="0022297C">
        <w:rPr>
          <w:rFonts w:ascii="Arial" w:hAnsi="Arial" w:cs="Arial"/>
          <w:lang w:val="en-GB"/>
        </w:rPr>
        <w:t xml:space="preserve">– besides the deferral period </w:t>
      </w:r>
      <w:r w:rsidR="00091A38">
        <w:rPr>
          <w:rFonts w:ascii="Arial" w:hAnsi="Arial" w:cs="Arial"/>
          <w:lang w:val="en-GB"/>
        </w:rPr>
        <w:t>(</w:t>
      </w:r>
      <w:r w:rsidR="007C3543">
        <w:rPr>
          <w:rFonts w:ascii="Arial" w:hAnsi="Arial" w:cs="Arial"/>
          <w:lang w:val="en-GB"/>
        </w:rPr>
        <w:t xml:space="preserve">as </w:t>
      </w:r>
      <w:r w:rsidR="007C3543" w:rsidRPr="000B6ED1">
        <w:rPr>
          <w:rFonts w:ascii="Arial" w:hAnsi="Arial" w:cs="Arial"/>
          <w:lang w:val="en-GB"/>
        </w:rPr>
        <w:t xml:space="preserve">defined in the MRL </w:t>
      </w:r>
      <w:r w:rsidR="007C3543">
        <w:rPr>
          <w:rFonts w:ascii="Arial" w:hAnsi="Arial" w:cs="Arial"/>
          <w:lang w:val="en-GB"/>
        </w:rPr>
        <w:t xml:space="preserve">amending </w:t>
      </w:r>
      <w:r w:rsidR="007C3543" w:rsidRPr="000B6ED1">
        <w:rPr>
          <w:rFonts w:ascii="Arial" w:hAnsi="Arial" w:cs="Arial"/>
          <w:lang w:val="en-GB"/>
        </w:rPr>
        <w:t>regulation</w:t>
      </w:r>
      <w:r w:rsidR="00091A38">
        <w:rPr>
          <w:rFonts w:ascii="Arial" w:hAnsi="Arial" w:cs="Arial"/>
          <w:lang w:val="en-GB"/>
        </w:rPr>
        <w:t>)</w:t>
      </w:r>
      <w:r w:rsidR="0022297C">
        <w:rPr>
          <w:rFonts w:ascii="Arial" w:hAnsi="Arial" w:cs="Arial"/>
          <w:lang w:val="en-GB"/>
        </w:rPr>
        <w:t xml:space="preserve"> - </w:t>
      </w:r>
      <w:r>
        <w:rPr>
          <w:rFonts w:ascii="Arial" w:hAnsi="Arial" w:cs="Arial"/>
          <w:lang w:val="en-GB"/>
        </w:rPr>
        <w:t xml:space="preserve">no transitional </w:t>
      </w:r>
      <w:r w:rsidR="00AF5688">
        <w:rPr>
          <w:rFonts w:ascii="Arial" w:hAnsi="Arial" w:cs="Arial"/>
          <w:lang w:val="en-GB"/>
        </w:rPr>
        <w:t xml:space="preserve">periods </w:t>
      </w:r>
      <w:r>
        <w:rPr>
          <w:rFonts w:ascii="Arial" w:hAnsi="Arial" w:cs="Arial"/>
          <w:lang w:val="en-GB"/>
        </w:rPr>
        <w:t xml:space="preserve">are granted for products which have been </w:t>
      </w:r>
      <w:r w:rsidR="0022297C">
        <w:rPr>
          <w:rFonts w:ascii="Arial" w:hAnsi="Arial" w:cs="Arial"/>
          <w:lang w:val="en-GB"/>
        </w:rPr>
        <w:t xml:space="preserve">lawfully </w:t>
      </w:r>
      <w:r>
        <w:rPr>
          <w:rFonts w:ascii="Arial" w:hAnsi="Arial" w:cs="Arial"/>
          <w:lang w:val="en-GB"/>
        </w:rPr>
        <w:t xml:space="preserve">produced </w:t>
      </w:r>
      <w:r w:rsidR="00AE5E0B">
        <w:rPr>
          <w:rFonts w:ascii="Arial" w:hAnsi="Arial" w:cs="Arial"/>
          <w:lang w:val="en-GB"/>
        </w:rPr>
        <w:t>or</w:t>
      </w:r>
      <w:r>
        <w:rPr>
          <w:rFonts w:ascii="Arial" w:hAnsi="Arial" w:cs="Arial"/>
          <w:lang w:val="en-GB"/>
        </w:rPr>
        <w:t xml:space="preserve"> imported into the EU before the new MRLs apply </w:t>
      </w:r>
      <w:r w:rsidR="0022297C">
        <w:rPr>
          <w:rFonts w:ascii="Arial" w:hAnsi="Arial" w:cs="Arial"/>
          <w:lang w:val="en-GB"/>
        </w:rPr>
        <w:t>(Option 2) the</w:t>
      </w:r>
      <w:r w:rsidR="00AE5E0B">
        <w:rPr>
          <w:rFonts w:ascii="Arial" w:hAnsi="Arial" w:cs="Arial"/>
          <w:lang w:val="en-GB"/>
        </w:rPr>
        <w:t>se</w:t>
      </w:r>
      <w:r w:rsidR="0022297C">
        <w:rPr>
          <w:rFonts w:ascii="Arial" w:hAnsi="Arial" w:cs="Arial"/>
          <w:lang w:val="en-GB"/>
        </w:rPr>
        <w:t xml:space="preserve"> products do not meet the new MRLs</w:t>
      </w:r>
      <w:r w:rsidR="00AE5E0B">
        <w:rPr>
          <w:rFonts w:ascii="Arial" w:hAnsi="Arial" w:cs="Arial"/>
          <w:lang w:val="en-GB"/>
        </w:rPr>
        <w:t xml:space="preserve"> and</w:t>
      </w:r>
      <w:r w:rsidR="0022297C">
        <w:rPr>
          <w:rFonts w:ascii="Arial" w:hAnsi="Arial" w:cs="Arial"/>
          <w:lang w:val="en-GB"/>
        </w:rPr>
        <w:t xml:space="preserve"> they </w:t>
      </w:r>
      <w:r w:rsidR="00FC16CB" w:rsidRPr="006B1B16">
        <w:rPr>
          <w:rFonts w:ascii="Arial" w:hAnsi="Arial" w:cs="Arial"/>
          <w:lang w:val="en-GB"/>
        </w:rPr>
        <w:t xml:space="preserve">will have to be </w:t>
      </w:r>
      <w:r w:rsidR="00907505">
        <w:rPr>
          <w:rFonts w:ascii="Arial" w:hAnsi="Arial" w:cs="Arial"/>
          <w:lang w:val="en-GB"/>
        </w:rPr>
        <w:t>discarded</w:t>
      </w:r>
      <w:r w:rsidR="00907505" w:rsidRPr="006B1B16">
        <w:rPr>
          <w:rFonts w:ascii="Arial" w:hAnsi="Arial" w:cs="Arial"/>
          <w:lang w:val="en-GB"/>
        </w:rPr>
        <w:t xml:space="preserve"> </w:t>
      </w:r>
      <w:r w:rsidR="00FC16CB" w:rsidRPr="006B1B16">
        <w:rPr>
          <w:rFonts w:ascii="Arial" w:hAnsi="Arial" w:cs="Arial"/>
          <w:lang w:val="en-GB"/>
        </w:rPr>
        <w:t xml:space="preserve">according to the current procedure of the </w:t>
      </w:r>
      <w:r w:rsidR="003F75CA">
        <w:rPr>
          <w:rFonts w:ascii="Arial" w:hAnsi="Arial" w:cs="Arial"/>
          <w:lang w:val="en-GB"/>
        </w:rPr>
        <w:t>European</w:t>
      </w:r>
      <w:r w:rsidR="00FC16CB" w:rsidRPr="006B1B16">
        <w:rPr>
          <w:rFonts w:ascii="Arial" w:hAnsi="Arial" w:cs="Arial"/>
          <w:lang w:val="en-GB"/>
        </w:rPr>
        <w:t xml:space="preserve"> Commission and Member States.</w:t>
      </w:r>
      <w:r w:rsidR="00AB0C0C" w:rsidRPr="006B1B16">
        <w:rPr>
          <w:lang w:val="en-GB"/>
        </w:rPr>
        <w:t xml:space="preserve"> </w:t>
      </w:r>
      <w:r w:rsidR="00907505">
        <w:rPr>
          <w:rFonts w:ascii="Arial" w:hAnsi="Arial" w:cs="Arial"/>
          <w:lang w:val="en-GB"/>
        </w:rPr>
        <w:t xml:space="preserve">Food commodities </w:t>
      </w:r>
      <w:r w:rsidR="00FC16CB" w:rsidRPr="006B1B16">
        <w:rPr>
          <w:rFonts w:ascii="Arial" w:hAnsi="Arial" w:cs="Arial"/>
          <w:lang w:val="en-GB"/>
        </w:rPr>
        <w:t xml:space="preserve">can have </w:t>
      </w:r>
      <w:r w:rsidR="006B1B16">
        <w:rPr>
          <w:rFonts w:ascii="Arial" w:hAnsi="Arial" w:cs="Arial"/>
          <w:lang w:val="en-GB"/>
        </w:rPr>
        <w:t xml:space="preserve">a </w:t>
      </w:r>
      <w:r w:rsidR="00FC16CB" w:rsidRPr="006B1B16">
        <w:rPr>
          <w:rFonts w:ascii="Arial" w:hAnsi="Arial" w:cs="Arial"/>
          <w:lang w:val="en-GB"/>
        </w:rPr>
        <w:t>very long shelf-life</w:t>
      </w:r>
      <w:r w:rsidR="006B1B16">
        <w:rPr>
          <w:rFonts w:ascii="Arial" w:hAnsi="Arial" w:cs="Arial"/>
          <w:lang w:val="en-GB"/>
        </w:rPr>
        <w:t xml:space="preserve">, </w:t>
      </w:r>
      <w:r w:rsidR="005722B6">
        <w:rPr>
          <w:rFonts w:ascii="Arial" w:hAnsi="Arial" w:cs="Arial"/>
          <w:lang w:val="en-GB"/>
        </w:rPr>
        <w:t xml:space="preserve">due to, </w:t>
      </w:r>
      <w:r w:rsidR="00FC16CB" w:rsidRPr="006B1B16">
        <w:rPr>
          <w:rFonts w:ascii="Arial" w:hAnsi="Arial" w:cs="Arial"/>
          <w:lang w:val="en-GB"/>
        </w:rPr>
        <w:t xml:space="preserve">e.g. by freezing, </w:t>
      </w:r>
      <w:r w:rsidR="00267F78" w:rsidRPr="006B1B16">
        <w:rPr>
          <w:rFonts w:ascii="Arial" w:hAnsi="Arial" w:cs="Arial"/>
          <w:lang w:val="en-GB"/>
        </w:rPr>
        <w:t>drying,</w:t>
      </w:r>
      <w:r w:rsidR="00FC16CB" w:rsidRPr="006B1B16">
        <w:rPr>
          <w:rFonts w:ascii="Arial" w:hAnsi="Arial" w:cs="Arial"/>
          <w:lang w:val="en-GB"/>
        </w:rPr>
        <w:t xml:space="preserve"> or processing. Dried ingredients can be stored for years (e.g</w:t>
      </w:r>
      <w:r w:rsidR="00161CE1">
        <w:rPr>
          <w:rFonts w:ascii="Arial" w:hAnsi="Arial" w:cs="Arial"/>
          <w:lang w:val="en-GB"/>
        </w:rPr>
        <w:t>.</w:t>
      </w:r>
      <w:r w:rsidR="00FC16CB" w:rsidRPr="006B1B16">
        <w:rPr>
          <w:rFonts w:ascii="Arial" w:hAnsi="Arial" w:cs="Arial"/>
          <w:lang w:val="en-GB"/>
        </w:rPr>
        <w:t xml:space="preserve"> tea, herbs) before they are marketed or used as ingredients for end-products. Deep-frozen, </w:t>
      </w:r>
      <w:r w:rsidR="00267F78" w:rsidRPr="006B1B16">
        <w:rPr>
          <w:rFonts w:ascii="Arial" w:hAnsi="Arial" w:cs="Arial"/>
          <w:lang w:val="en-GB"/>
        </w:rPr>
        <w:t>canned,</w:t>
      </w:r>
      <w:r w:rsidR="00FC16CB" w:rsidRPr="006B1B16">
        <w:rPr>
          <w:rFonts w:ascii="Arial" w:hAnsi="Arial" w:cs="Arial"/>
          <w:lang w:val="en-GB"/>
        </w:rPr>
        <w:t xml:space="preserve"> and dried end-products again can have a shelf-life of several years.</w:t>
      </w:r>
      <w:r w:rsidR="00267F78" w:rsidRPr="006B1B16">
        <w:rPr>
          <w:rFonts w:ascii="Arial" w:hAnsi="Arial" w:cs="Arial"/>
          <w:lang w:val="en-GB"/>
        </w:rPr>
        <w:t xml:space="preserve"> Thus, </w:t>
      </w:r>
      <w:r w:rsidR="001658C8">
        <w:rPr>
          <w:rFonts w:ascii="Arial" w:hAnsi="Arial" w:cs="Arial"/>
          <w:lang w:val="en-GB"/>
        </w:rPr>
        <w:t xml:space="preserve">it is not reasonable to expect all these </w:t>
      </w:r>
      <w:r w:rsidR="00267F78" w:rsidRPr="006B1B16">
        <w:rPr>
          <w:rFonts w:ascii="Arial" w:hAnsi="Arial" w:cs="Arial"/>
          <w:lang w:val="en-GB"/>
        </w:rPr>
        <w:t xml:space="preserve">products and stocks </w:t>
      </w:r>
      <w:r w:rsidR="001658C8">
        <w:rPr>
          <w:rFonts w:ascii="Arial" w:hAnsi="Arial" w:cs="Arial"/>
          <w:lang w:val="en-GB"/>
        </w:rPr>
        <w:t>to be sold</w:t>
      </w:r>
      <w:r w:rsidR="001658C8" w:rsidRPr="006B1B16">
        <w:rPr>
          <w:rFonts w:ascii="Arial" w:hAnsi="Arial" w:cs="Arial"/>
          <w:lang w:val="en-GB"/>
        </w:rPr>
        <w:t xml:space="preserve"> </w:t>
      </w:r>
      <w:r w:rsidR="0037772B">
        <w:rPr>
          <w:rFonts w:ascii="Arial" w:hAnsi="Arial" w:cs="Arial"/>
          <w:lang w:val="en-GB"/>
        </w:rPr>
        <w:t xml:space="preserve">(or exported) </w:t>
      </w:r>
      <w:r w:rsidR="00267F78" w:rsidRPr="006B1B16">
        <w:rPr>
          <w:rFonts w:ascii="Arial" w:hAnsi="Arial" w:cs="Arial"/>
          <w:lang w:val="en-GB"/>
        </w:rPr>
        <w:t>within</w:t>
      </w:r>
      <w:r w:rsidR="0037772B">
        <w:rPr>
          <w:rFonts w:ascii="Arial" w:hAnsi="Arial" w:cs="Arial"/>
          <w:lang w:val="en-GB"/>
        </w:rPr>
        <w:t xml:space="preserve"> the given deferral period </w:t>
      </w:r>
      <w:r w:rsidR="00091A38">
        <w:rPr>
          <w:rFonts w:ascii="Arial" w:hAnsi="Arial" w:cs="Arial"/>
          <w:lang w:val="en-GB"/>
        </w:rPr>
        <w:t>(</w:t>
      </w:r>
      <w:r w:rsidR="00AF5688">
        <w:rPr>
          <w:rFonts w:ascii="Arial" w:hAnsi="Arial" w:cs="Arial"/>
          <w:lang w:val="en-GB"/>
        </w:rPr>
        <w:t xml:space="preserve">usually </w:t>
      </w:r>
      <w:r w:rsidR="00091A38">
        <w:rPr>
          <w:rFonts w:ascii="Arial" w:hAnsi="Arial" w:cs="Arial"/>
          <w:lang w:val="en-GB"/>
        </w:rPr>
        <w:t xml:space="preserve">6 </w:t>
      </w:r>
      <w:r w:rsidR="00267F78" w:rsidRPr="006B1B16">
        <w:rPr>
          <w:rFonts w:ascii="Arial" w:hAnsi="Arial" w:cs="Arial"/>
          <w:lang w:val="en-GB"/>
        </w:rPr>
        <w:t>months</w:t>
      </w:r>
      <w:r w:rsidR="0037772B">
        <w:rPr>
          <w:rFonts w:ascii="Arial" w:hAnsi="Arial" w:cs="Arial"/>
          <w:lang w:val="en-GB"/>
        </w:rPr>
        <w:t>)</w:t>
      </w:r>
      <w:r w:rsidR="00907505">
        <w:rPr>
          <w:rFonts w:ascii="Arial" w:hAnsi="Arial" w:cs="Arial"/>
          <w:lang w:val="en-GB"/>
        </w:rPr>
        <w:t xml:space="preserve"> which is </w:t>
      </w:r>
      <w:r w:rsidR="00907505" w:rsidRPr="00907505">
        <w:rPr>
          <w:rFonts w:ascii="Arial" w:hAnsi="Arial" w:cs="Arial"/>
          <w:lang w:val="en-GB"/>
        </w:rPr>
        <w:t>often too short for farmers</w:t>
      </w:r>
      <w:r w:rsidR="00907505">
        <w:rPr>
          <w:rFonts w:ascii="Arial" w:hAnsi="Arial" w:cs="Arial"/>
          <w:lang w:val="en-GB"/>
        </w:rPr>
        <w:t xml:space="preserve"> and supply chain</w:t>
      </w:r>
      <w:r w:rsidR="00907505" w:rsidRPr="00907505">
        <w:rPr>
          <w:rFonts w:ascii="Arial" w:hAnsi="Arial" w:cs="Arial"/>
          <w:lang w:val="en-GB"/>
        </w:rPr>
        <w:t xml:space="preserve"> to adapt.</w:t>
      </w:r>
      <w:r w:rsidR="00267F78" w:rsidRPr="006B1B16">
        <w:rPr>
          <w:rFonts w:ascii="Arial" w:hAnsi="Arial" w:cs="Arial"/>
          <w:lang w:val="en-GB"/>
        </w:rPr>
        <w:t xml:space="preserve"> Consequently, big quantities of processed ingredients and end-products would need to be destroyed.</w:t>
      </w:r>
      <w:r w:rsidR="00644834">
        <w:rPr>
          <w:rFonts w:ascii="Arial" w:hAnsi="Arial" w:cs="Arial"/>
          <w:lang w:val="en-GB"/>
        </w:rPr>
        <w:t xml:space="preserve"> </w:t>
      </w:r>
    </w:p>
    <w:p w14:paraId="254AE602" w14:textId="6525E8C9" w:rsidR="002B3C75" w:rsidRDefault="002B3C75" w:rsidP="002B3C75">
      <w:pPr>
        <w:spacing w:line="276" w:lineRule="auto"/>
        <w:jc w:val="both"/>
        <w:rPr>
          <w:rFonts w:ascii="Arial" w:hAnsi="Arial" w:cs="Arial"/>
          <w:lang w:val="en-GB"/>
        </w:rPr>
      </w:pPr>
      <w:r>
        <w:rPr>
          <w:rFonts w:ascii="Arial" w:hAnsi="Arial" w:cs="Arial"/>
          <w:lang w:val="en-GB"/>
        </w:rPr>
        <w:t>It is to be noted that apart from the lowering of MRLs, when unexpected findings occur</w:t>
      </w:r>
      <w:r w:rsidR="004A50E2">
        <w:rPr>
          <w:rFonts w:ascii="Arial" w:hAnsi="Arial" w:cs="Arial"/>
          <w:lang w:val="en-GB"/>
        </w:rPr>
        <w:t xml:space="preserve"> (</w:t>
      </w:r>
      <w:r>
        <w:rPr>
          <w:rFonts w:ascii="Arial" w:hAnsi="Arial" w:cs="Arial"/>
          <w:lang w:val="en-GB"/>
        </w:rPr>
        <w:t>e.g. the residue definition has changed or it turns out that the pesticide is a multi</w:t>
      </w:r>
      <w:r w:rsidR="009558BC">
        <w:rPr>
          <w:rFonts w:ascii="Arial" w:hAnsi="Arial" w:cs="Arial"/>
          <w:lang w:val="en-GB"/>
        </w:rPr>
        <w:t xml:space="preserve">ple </w:t>
      </w:r>
      <w:r>
        <w:rPr>
          <w:rFonts w:ascii="Arial" w:hAnsi="Arial" w:cs="Arial"/>
          <w:lang w:val="en-GB"/>
        </w:rPr>
        <w:t>source substance</w:t>
      </w:r>
      <w:r w:rsidR="004A50E2">
        <w:rPr>
          <w:rFonts w:ascii="Arial" w:hAnsi="Arial" w:cs="Arial"/>
          <w:lang w:val="en-GB"/>
        </w:rPr>
        <w:t>)</w:t>
      </w:r>
      <w:r w:rsidR="00907505">
        <w:rPr>
          <w:rFonts w:ascii="Arial" w:hAnsi="Arial" w:cs="Arial"/>
          <w:lang w:val="en-GB"/>
        </w:rPr>
        <w:t xml:space="preserve"> the lack of transitional periods </w:t>
      </w:r>
      <w:r w:rsidR="004A50E2">
        <w:rPr>
          <w:rFonts w:ascii="Arial" w:hAnsi="Arial" w:cs="Arial"/>
          <w:lang w:val="en-GB"/>
        </w:rPr>
        <w:t>allowing</w:t>
      </w:r>
      <w:r w:rsidR="00907505">
        <w:rPr>
          <w:rFonts w:ascii="Arial" w:hAnsi="Arial" w:cs="Arial"/>
          <w:lang w:val="en-GB"/>
        </w:rPr>
        <w:t xml:space="preserve"> food business operators to adapt to the new requirements can also be extremely critical</w:t>
      </w:r>
      <w:r>
        <w:rPr>
          <w:rFonts w:ascii="Arial" w:hAnsi="Arial" w:cs="Arial"/>
          <w:lang w:val="en-GB"/>
        </w:rPr>
        <w:t>.</w:t>
      </w:r>
    </w:p>
    <w:p w14:paraId="4F95B2E9" w14:textId="689932C7" w:rsidR="00B42137" w:rsidRPr="006B1B16" w:rsidRDefault="007521F5" w:rsidP="00441133">
      <w:pPr>
        <w:spacing w:line="276" w:lineRule="auto"/>
        <w:jc w:val="both"/>
        <w:rPr>
          <w:rFonts w:ascii="Arial" w:hAnsi="Arial" w:cs="Arial"/>
          <w:lang w:val="en-GB"/>
        </w:rPr>
      </w:pPr>
      <w:r>
        <w:rPr>
          <w:rFonts w:ascii="Arial" w:hAnsi="Arial" w:cs="Arial"/>
          <w:lang w:val="en-GB"/>
        </w:rPr>
        <w:t xml:space="preserve">A non-exhaustive list of cases </w:t>
      </w:r>
      <w:r w:rsidRPr="007521F5">
        <w:rPr>
          <w:rFonts w:ascii="Arial" w:hAnsi="Arial" w:cs="Arial"/>
          <w:lang w:val="en-GB"/>
        </w:rPr>
        <w:t>and the consequences thereafter</w:t>
      </w:r>
      <w:r>
        <w:rPr>
          <w:rFonts w:ascii="Arial" w:hAnsi="Arial" w:cs="Arial"/>
          <w:lang w:val="en-GB"/>
        </w:rPr>
        <w:t xml:space="preserve"> is included in Annex. </w:t>
      </w:r>
      <w:r w:rsidR="00644834">
        <w:rPr>
          <w:rFonts w:ascii="Arial" w:hAnsi="Arial" w:cs="Arial"/>
          <w:lang w:val="en-GB"/>
        </w:rPr>
        <w:t xml:space="preserve">Proper </w:t>
      </w:r>
      <w:r w:rsidR="00644834" w:rsidRPr="00644834">
        <w:rPr>
          <w:rFonts w:ascii="Arial" w:hAnsi="Arial" w:cs="Arial"/>
          <w:lang w:val="en-GB"/>
        </w:rPr>
        <w:t>transitional periods are therefore an important parameter for reali</w:t>
      </w:r>
      <w:r w:rsidR="004A50E2">
        <w:rPr>
          <w:rFonts w:ascii="Arial" w:hAnsi="Arial" w:cs="Arial"/>
          <w:lang w:val="en-GB"/>
        </w:rPr>
        <w:t>s</w:t>
      </w:r>
      <w:r w:rsidR="00644834" w:rsidRPr="00644834">
        <w:rPr>
          <w:rFonts w:ascii="Arial" w:hAnsi="Arial" w:cs="Arial"/>
          <w:lang w:val="en-GB"/>
        </w:rPr>
        <w:t>ing the EU’s goal to fight food waste</w:t>
      </w:r>
      <w:r w:rsidR="00644834">
        <w:rPr>
          <w:rFonts w:ascii="Arial" w:hAnsi="Arial" w:cs="Arial"/>
          <w:lang w:val="en-GB"/>
        </w:rPr>
        <w:t>.</w:t>
      </w:r>
      <w:r w:rsidR="008728E3">
        <w:rPr>
          <w:rFonts w:ascii="Arial" w:hAnsi="Arial" w:cs="Arial"/>
        </w:rPr>
        <w:t xml:space="preserve"> </w:t>
      </w:r>
      <w:r w:rsidR="1F425D72" w:rsidRPr="39FB3147">
        <w:rPr>
          <w:rFonts w:ascii="Arial" w:hAnsi="Arial" w:cs="Arial"/>
          <w:lang w:val="en-GB"/>
        </w:rPr>
        <w:t>We think tha</w:t>
      </w:r>
      <w:r w:rsidR="6031FDF1" w:rsidRPr="39FB3147">
        <w:rPr>
          <w:rFonts w:ascii="Arial" w:hAnsi="Arial" w:cs="Arial"/>
          <w:lang w:val="en-GB"/>
        </w:rPr>
        <w:t>t</w:t>
      </w:r>
      <w:r w:rsidR="1F425D72" w:rsidRPr="39FB3147">
        <w:rPr>
          <w:rFonts w:ascii="Arial" w:hAnsi="Arial" w:cs="Arial"/>
          <w:lang w:val="en-GB"/>
        </w:rPr>
        <w:t xml:space="preserve"> </w:t>
      </w:r>
      <w:r w:rsidR="00907505" w:rsidRPr="39FB3147">
        <w:rPr>
          <w:rFonts w:ascii="Arial" w:hAnsi="Arial" w:cs="Arial"/>
          <w:lang w:val="en-GB"/>
        </w:rPr>
        <w:t>d</w:t>
      </w:r>
      <w:r w:rsidR="00907505">
        <w:rPr>
          <w:rFonts w:ascii="Arial" w:hAnsi="Arial" w:cs="Arial"/>
          <w:lang w:val="en-GB"/>
        </w:rPr>
        <w:t>iscarding</w:t>
      </w:r>
      <w:r w:rsidR="00907505" w:rsidRPr="39FB3147">
        <w:rPr>
          <w:rFonts w:ascii="Arial" w:hAnsi="Arial" w:cs="Arial"/>
          <w:lang w:val="en-GB"/>
        </w:rPr>
        <w:t xml:space="preserve"> </w:t>
      </w:r>
      <w:r w:rsidR="1F425D72" w:rsidRPr="39FB3147">
        <w:rPr>
          <w:rFonts w:ascii="Arial" w:hAnsi="Arial" w:cs="Arial"/>
          <w:lang w:val="en-GB"/>
        </w:rPr>
        <w:t xml:space="preserve">already produced food is neither </w:t>
      </w:r>
      <w:r w:rsidR="006175F6">
        <w:rPr>
          <w:rFonts w:ascii="Arial" w:hAnsi="Arial" w:cs="Arial"/>
          <w:lang w:val="en-GB"/>
        </w:rPr>
        <w:t xml:space="preserve">an </w:t>
      </w:r>
      <w:r w:rsidR="1F425D72" w:rsidRPr="39FB3147">
        <w:rPr>
          <w:rFonts w:ascii="Arial" w:hAnsi="Arial" w:cs="Arial"/>
          <w:lang w:val="en-GB"/>
        </w:rPr>
        <w:t>appropriate nor proportionate</w:t>
      </w:r>
      <w:r w:rsidR="006175F6">
        <w:rPr>
          <w:rFonts w:ascii="Arial" w:hAnsi="Arial" w:cs="Arial"/>
          <w:lang w:val="en-GB"/>
        </w:rPr>
        <w:t xml:space="preserve"> measure in legislation. It is only justified when a concrete food product definitely present</w:t>
      </w:r>
      <w:r w:rsidR="00B574DF">
        <w:rPr>
          <w:rFonts w:ascii="Arial" w:hAnsi="Arial" w:cs="Arial"/>
          <w:lang w:val="en-GB"/>
        </w:rPr>
        <w:t>s</w:t>
      </w:r>
      <w:r w:rsidR="006175F6">
        <w:rPr>
          <w:rFonts w:ascii="Arial" w:hAnsi="Arial" w:cs="Arial"/>
          <w:lang w:val="en-GB"/>
        </w:rPr>
        <w:t xml:space="preserve"> a health risk for the consumer</w:t>
      </w:r>
      <w:r w:rsidR="00161CE1">
        <w:rPr>
          <w:rFonts w:ascii="Arial" w:hAnsi="Arial" w:cs="Arial"/>
          <w:lang w:val="en-GB"/>
        </w:rPr>
        <w:t xml:space="preserve">. </w:t>
      </w:r>
      <w:r w:rsidR="006175F6">
        <w:rPr>
          <w:rFonts w:ascii="Arial" w:hAnsi="Arial" w:cs="Arial"/>
          <w:lang w:val="en-GB"/>
        </w:rPr>
        <w:t>If not, i</w:t>
      </w:r>
      <w:r w:rsidR="28CE6B60" w:rsidRPr="39FB3147">
        <w:rPr>
          <w:rFonts w:ascii="Arial" w:hAnsi="Arial" w:cs="Arial"/>
          <w:lang w:val="en-GB"/>
        </w:rPr>
        <w:t xml:space="preserve">n the EU the principle should be followed that food which has been lawfully produced, should not be wasted. </w:t>
      </w:r>
    </w:p>
    <w:p w14:paraId="0172AD4B" w14:textId="0F833F09" w:rsidR="002909F1" w:rsidRDefault="507A34FA" w:rsidP="002909F1">
      <w:pPr>
        <w:spacing w:line="276" w:lineRule="auto"/>
        <w:jc w:val="both"/>
        <w:rPr>
          <w:rFonts w:ascii="Arial" w:hAnsi="Arial" w:cs="Arial"/>
          <w:lang w:val="en-GB"/>
        </w:rPr>
      </w:pPr>
      <w:r w:rsidRPr="39FB3147">
        <w:rPr>
          <w:rFonts w:ascii="Arial" w:hAnsi="Arial" w:cs="Arial"/>
          <w:lang w:val="en-GB"/>
        </w:rPr>
        <w:t xml:space="preserve">Effective risk management requires ensuring a high level of consumer protection whilst examining </w:t>
      </w:r>
      <w:r w:rsidR="001658C8">
        <w:rPr>
          <w:rFonts w:ascii="Arial" w:hAnsi="Arial" w:cs="Arial"/>
          <w:lang w:val="en-GB"/>
        </w:rPr>
        <w:t xml:space="preserve">its </w:t>
      </w:r>
      <w:r w:rsidRPr="39FB3147">
        <w:rPr>
          <w:rFonts w:ascii="Arial" w:hAnsi="Arial" w:cs="Arial"/>
          <w:lang w:val="en-GB"/>
        </w:rPr>
        <w:t>consequences</w:t>
      </w:r>
      <w:r w:rsidR="00161CE1">
        <w:rPr>
          <w:rFonts w:ascii="Arial" w:hAnsi="Arial" w:cs="Arial"/>
          <w:lang w:val="en-GB"/>
        </w:rPr>
        <w:t xml:space="preserve"> </w:t>
      </w:r>
      <w:r w:rsidR="001658C8">
        <w:rPr>
          <w:rFonts w:ascii="Arial" w:hAnsi="Arial" w:cs="Arial"/>
          <w:lang w:val="en-GB"/>
        </w:rPr>
        <w:t xml:space="preserve">including economic damage to food operators and </w:t>
      </w:r>
      <w:r w:rsidR="00970C8E">
        <w:rPr>
          <w:rFonts w:ascii="Arial" w:hAnsi="Arial" w:cs="Arial"/>
          <w:lang w:val="en-GB"/>
        </w:rPr>
        <w:t xml:space="preserve">its </w:t>
      </w:r>
      <w:r w:rsidR="001658C8">
        <w:rPr>
          <w:rFonts w:ascii="Arial" w:hAnsi="Arial" w:cs="Arial"/>
          <w:lang w:val="en-GB"/>
        </w:rPr>
        <w:t>contribution to food waste.</w:t>
      </w:r>
      <w:r w:rsidRPr="39FB3147">
        <w:rPr>
          <w:rFonts w:ascii="Arial" w:hAnsi="Arial" w:cs="Arial"/>
          <w:lang w:val="en-GB"/>
        </w:rPr>
        <w:t xml:space="preserve"> </w:t>
      </w:r>
      <w:r w:rsidR="002909F1" w:rsidRPr="00161CE1">
        <w:rPr>
          <w:rFonts w:ascii="Arial" w:hAnsi="Arial" w:cs="Arial"/>
          <w:lang w:val="en-GB"/>
        </w:rPr>
        <w:t xml:space="preserve">The food industry considers that the policy currently favoured by the Commission does not always deliver a proportionate response; </w:t>
      </w:r>
      <w:r w:rsidR="00970C8E">
        <w:rPr>
          <w:rFonts w:ascii="Arial" w:hAnsi="Arial" w:cs="Arial"/>
          <w:lang w:val="en-GB"/>
        </w:rPr>
        <w:t xml:space="preserve">as working with the MRLs as residues levels and not taking into account the real residues levels in the food (which are often </w:t>
      </w:r>
      <w:r w:rsidR="00A9171A">
        <w:rPr>
          <w:rFonts w:ascii="Arial" w:hAnsi="Arial" w:cs="Arial"/>
          <w:lang w:val="en-GB"/>
        </w:rPr>
        <w:t xml:space="preserve">(much) </w:t>
      </w:r>
      <w:r w:rsidR="00970C8E">
        <w:rPr>
          <w:rFonts w:ascii="Arial" w:hAnsi="Arial" w:cs="Arial"/>
          <w:lang w:val="en-GB"/>
        </w:rPr>
        <w:t xml:space="preserve">lower than the MRL), </w:t>
      </w:r>
      <w:r w:rsidR="002909F1" w:rsidRPr="00161CE1">
        <w:rPr>
          <w:rFonts w:ascii="Arial" w:hAnsi="Arial" w:cs="Arial"/>
          <w:lang w:val="en-GB"/>
        </w:rPr>
        <w:t>in certain cases, it overstates the risk to consumers during the transition period and underestimates the practical implications resulting from the realities of the food supply chain.</w:t>
      </w:r>
    </w:p>
    <w:p w14:paraId="455D3186" w14:textId="53F6846A" w:rsidR="00E21F9B" w:rsidRDefault="1F425D72" w:rsidP="00441133">
      <w:pPr>
        <w:spacing w:line="276" w:lineRule="auto"/>
        <w:jc w:val="both"/>
        <w:rPr>
          <w:rFonts w:ascii="Arial" w:hAnsi="Arial" w:cs="Arial"/>
          <w:lang w:val="en-GB"/>
        </w:rPr>
      </w:pPr>
      <w:r w:rsidRPr="39FB3147">
        <w:rPr>
          <w:rFonts w:ascii="Arial" w:hAnsi="Arial" w:cs="Arial"/>
          <w:lang w:val="en-GB"/>
        </w:rPr>
        <w:t xml:space="preserve">Therefore, </w:t>
      </w:r>
      <w:r w:rsidR="28CE6B60" w:rsidRPr="39FB3147">
        <w:rPr>
          <w:rFonts w:ascii="Arial" w:hAnsi="Arial" w:cs="Arial"/>
          <w:lang w:val="en-GB"/>
        </w:rPr>
        <w:t xml:space="preserve">the </w:t>
      </w:r>
      <w:r w:rsidRPr="39FB3147">
        <w:rPr>
          <w:rFonts w:ascii="Arial" w:hAnsi="Arial" w:cs="Arial"/>
          <w:lang w:val="en-GB"/>
        </w:rPr>
        <w:t xml:space="preserve">food </w:t>
      </w:r>
      <w:r w:rsidR="616328D6" w:rsidRPr="39FB3147">
        <w:rPr>
          <w:rFonts w:ascii="Arial" w:hAnsi="Arial" w:cs="Arial"/>
          <w:lang w:val="en-GB"/>
        </w:rPr>
        <w:t xml:space="preserve">and drink </w:t>
      </w:r>
      <w:r w:rsidRPr="39FB3147">
        <w:rPr>
          <w:rFonts w:ascii="Arial" w:hAnsi="Arial" w:cs="Arial"/>
          <w:lang w:val="en-GB"/>
        </w:rPr>
        <w:t>industry request</w:t>
      </w:r>
      <w:r w:rsidR="616328D6" w:rsidRPr="39FB3147">
        <w:rPr>
          <w:rFonts w:ascii="Arial" w:hAnsi="Arial" w:cs="Arial"/>
          <w:lang w:val="en-GB"/>
        </w:rPr>
        <w:t>s</w:t>
      </w:r>
      <w:r w:rsidRPr="39FB3147">
        <w:rPr>
          <w:rFonts w:ascii="Arial" w:hAnsi="Arial" w:cs="Arial"/>
          <w:lang w:val="en-GB"/>
        </w:rPr>
        <w:t xml:space="preserve"> to have transitional </w:t>
      </w:r>
      <w:r w:rsidR="00637876">
        <w:rPr>
          <w:rFonts w:ascii="Arial" w:hAnsi="Arial" w:cs="Arial"/>
          <w:lang w:val="en-GB"/>
        </w:rPr>
        <w:t>measures</w:t>
      </w:r>
      <w:r w:rsidR="00637876" w:rsidRPr="39FB3147">
        <w:rPr>
          <w:rFonts w:ascii="Arial" w:hAnsi="Arial" w:cs="Arial"/>
          <w:lang w:val="en-GB"/>
        </w:rPr>
        <w:t xml:space="preserve"> </w:t>
      </w:r>
      <w:r w:rsidRPr="39FB3147">
        <w:rPr>
          <w:rFonts w:ascii="Arial" w:hAnsi="Arial" w:cs="Arial"/>
          <w:lang w:val="en-GB"/>
        </w:rPr>
        <w:t xml:space="preserve">for all </w:t>
      </w:r>
      <w:r w:rsidR="00161CE1">
        <w:rPr>
          <w:rFonts w:ascii="Arial" w:hAnsi="Arial" w:cs="Arial"/>
          <w:lang w:val="en-GB"/>
        </w:rPr>
        <w:t xml:space="preserve">lawfully </w:t>
      </w:r>
      <w:r w:rsidR="0037772B">
        <w:rPr>
          <w:rFonts w:ascii="Arial" w:hAnsi="Arial" w:cs="Arial"/>
          <w:lang w:val="en-GB"/>
        </w:rPr>
        <w:t xml:space="preserve">produced </w:t>
      </w:r>
      <w:r w:rsidRPr="39FB3147">
        <w:rPr>
          <w:rFonts w:ascii="Arial" w:hAnsi="Arial" w:cs="Arial"/>
          <w:lang w:val="en-GB"/>
        </w:rPr>
        <w:t>food</w:t>
      </w:r>
      <w:r w:rsidR="00644834">
        <w:rPr>
          <w:rFonts w:ascii="Arial" w:hAnsi="Arial" w:cs="Arial"/>
          <w:lang w:val="en-GB"/>
        </w:rPr>
        <w:t>stuffs</w:t>
      </w:r>
      <w:r w:rsidRPr="39FB3147">
        <w:rPr>
          <w:rFonts w:ascii="Arial" w:hAnsi="Arial" w:cs="Arial"/>
          <w:lang w:val="en-GB"/>
        </w:rPr>
        <w:t xml:space="preserve"> </w:t>
      </w:r>
      <w:r w:rsidR="00637876">
        <w:rPr>
          <w:rFonts w:ascii="Arial" w:hAnsi="Arial" w:cs="Arial"/>
          <w:lang w:val="en-GB"/>
        </w:rPr>
        <w:t xml:space="preserve">which allow the marketing and further processing until end of shelf life of the corresponding products </w:t>
      </w:r>
      <w:r w:rsidRPr="39FB3147">
        <w:rPr>
          <w:rFonts w:ascii="Arial" w:hAnsi="Arial" w:cs="Arial"/>
          <w:lang w:val="en-GB"/>
        </w:rPr>
        <w:t>when MRLs for pesticides residues are lowered</w:t>
      </w:r>
      <w:r w:rsidR="005B7F55">
        <w:rPr>
          <w:rFonts w:ascii="Arial" w:hAnsi="Arial" w:cs="Arial"/>
          <w:lang w:val="en-GB"/>
        </w:rPr>
        <w:t xml:space="preserve">. </w:t>
      </w:r>
      <w:r w:rsidR="00E21F9B" w:rsidRPr="39FB3147">
        <w:rPr>
          <w:rFonts w:ascii="Arial" w:hAnsi="Arial" w:cs="Arial"/>
          <w:lang w:val="en-GB"/>
        </w:rPr>
        <w:t xml:space="preserve">We believe a compromise should be made to on one hand ensure </w:t>
      </w:r>
      <w:r w:rsidR="00A9171A">
        <w:rPr>
          <w:rFonts w:ascii="Arial" w:hAnsi="Arial" w:cs="Arial"/>
          <w:lang w:val="en-GB"/>
        </w:rPr>
        <w:t xml:space="preserve">a </w:t>
      </w:r>
      <w:r w:rsidR="00E21F9B" w:rsidRPr="39FB3147">
        <w:rPr>
          <w:rFonts w:ascii="Arial" w:hAnsi="Arial" w:cs="Arial"/>
          <w:lang w:val="en-GB"/>
        </w:rPr>
        <w:t>high level of consumer protection and on the other hand minimise damage to the food supply chain and help avoid destroying valuable food products.</w:t>
      </w:r>
    </w:p>
    <w:p w14:paraId="52C9C616" w14:textId="04760E90" w:rsidR="00FC16CB" w:rsidRPr="006B1B16" w:rsidRDefault="00B42137" w:rsidP="00441133">
      <w:pPr>
        <w:spacing w:line="276" w:lineRule="auto"/>
        <w:jc w:val="both"/>
        <w:rPr>
          <w:rFonts w:ascii="Arial" w:hAnsi="Arial" w:cs="Arial"/>
          <w:u w:val="single"/>
          <w:lang w:val="en-GB"/>
        </w:rPr>
      </w:pPr>
      <w:r w:rsidRPr="006B1B16">
        <w:rPr>
          <w:rFonts w:ascii="Arial" w:hAnsi="Arial" w:cs="Arial"/>
          <w:u w:val="single"/>
          <w:lang w:val="en-GB"/>
        </w:rPr>
        <w:t xml:space="preserve">Moving forward: </w:t>
      </w:r>
      <w:r w:rsidR="00846427" w:rsidRPr="006B1B16">
        <w:rPr>
          <w:rFonts w:ascii="Arial" w:hAnsi="Arial" w:cs="Arial"/>
          <w:u w:val="single"/>
          <w:lang w:val="en-GB"/>
        </w:rPr>
        <w:t>A pragmatic approach towards transitional measures</w:t>
      </w:r>
    </w:p>
    <w:p w14:paraId="30A05725" w14:textId="59E7A9D4" w:rsidR="003023B2" w:rsidRPr="00184246" w:rsidRDefault="003023B2" w:rsidP="00441133">
      <w:pPr>
        <w:spacing w:line="276" w:lineRule="auto"/>
        <w:jc w:val="both"/>
        <w:rPr>
          <w:rFonts w:ascii="Arial" w:hAnsi="Arial" w:cs="Arial"/>
          <w:lang w:val="en-GB"/>
        </w:rPr>
      </w:pPr>
      <w:r w:rsidRPr="00184246">
        <w:rPr>
          <w:rFonts w:ascii="Arial" w:hAnsi="Arial" w:cs="Arial"/>
          <w:lang w:val="en-GB"/>
        </w:rPr>
        <w:t xml:space="preserve">We recognise that the food chain is complex </w:t>
      </w:r>
      <w:r>
        <w:rPr>
          <w:rFonts w:ascii="Arial" w:hAnsi="Arial" w:cs="Arial"/>
          <w:lang w:val="en-GB"/>
        </w:rPr>
        <w:t xml:space="preserve">(e.g. crop cycles, product shelf-life) </w:t>
      </w:r>
      <w:r w:rsidRPr="00184246">
        <w:rPr>
          <w:rFonts w:ascii="Arial" w:hAnsi="Arial" w:cs="Arial"/>
          <w:lang w:val="en-GB"/>
        </w:rPr>
        <w:t xml:space="preserve">and this complexity requires more sophisticated risk management measures then currently presented. </w:t>
      </w:r>
      <w:r w:rsidRPr="00184246">
        <w:rPr>
          <w:rFonts w:ascii="Arial" w:hAnsi="Arial" w:cs="Arial"/>
          <w:lang w:val="en-GB"/>
        </w:rPr>
        <w:lastRenderedPageBreak/>
        <w:t xml:space="preserve">Nevertheless, it is </w:t>
      </w:r>
      <w:r w:rsidR="005852F6">
        <w:rPr>
          <w:rFonts w:ascii="Arial" w:hAnsi="Arial" w:cs="Arial"/>
          <w:lang w:val="en-GB"/>
        </w:rPr>
        <w:t xml:space="preserve">imperative that </w:t>
      </w:r>
      <w:r w:rsidRPr="00184246">
        <w:rPr>
          <w:rFonts w:ascii="Arial" w:hAnsi="Arial" w:cs="Arial"/>
          <w:lang w:val="en-GB"/>
        </w:rPr>
        <w:t>the Commission in its role as risk manager fully assess</w:t>
      </w:r>
      <w:r w:rsidR="005852F6">
        <w:rPr>
          <w:rFonts w:ascii="Arial" w:hAnsi="Arial" w:cs="Arial"/>
          <w:lang w:val="en-GB"/>
        </w:rPr>
        <w:t>es</w:t>
      </w:r>
      <w:r w:rsidRPr="00184246">
        <w:rPr>
          <w:rFonts w:ascii="Arial" w:hAnsi="Arial" w:cs="Arial"/>
          <w:lang w:val="en-GB"/>
        </w:rPr>
        <w:t xml:space="preserve"> </w:t>
      </w:r>
      <w:r w:rsidR="005852F6">
        <w:rPr>
          <w:rFonts w:ascii="Arial" w:hAnsi="Arial" w:cs="Arial"/>
          <w:lang w:val="en-GB"/>
        </w:rPr>
        <w:t>all</w:t>
      </w:r>
      <w:r w:rsidRPr="00184246">
        <w:rPr>
          <w:rFonts w:ascii="Arial" w:hAnsi="Arial" w:cs="Arial"/>
          <w:lang w:val="en-GB"/>
        </w:rPr>
        <w:t xml:space="preserve"> possible consequences of any measure in accordance with the principle of proportionality.</w:t>
      </w:r>
    </w:p>
    <w:p w14:paraId="1E356328" w14:textId="2037BAB9" w:rsidR="002361F9" w:rsidRPr="00B574DF" w:rsidRDefault="24775328" w:rsidP="00441133">
      <w:pPr>
        <w:spacing w:line="276" w:lineRule="auto"/>
        <w:jc w:val="both"/>
        <w:rPr>
          <w:rFonts w:ascii="Arial" w:hAnsi="Arial" w:cs="Arial"/>
        </w:rPr>
      </w:pPr>
      <w:r w:rsidRPr="39FB3147">
        <w:rPr>
          <w:rFonts w:ascii="Arial" w:hAnsi="Arial" w:cs="Arial"/>
          <w:lang w:val="en-GB"/>
        </w:rPr>
        <w:t xml:space="preserve">In many cases it is not proportionate to reject transitional periods. </w:t>
      </w:r>
      <w:r w:rsidR="1F425D72" w:rsidRPr="39FB3147">
        <w:rPr>
          <w:rFonts w:ascii="Arial" w:hAnsi="Arial" w:cs="Arial"/>
          <w:lang w:val="en-GB"/>
        </w:rPr>
        <w:t>To date, neither the</w:t>
      </w:r>
      <w:r w:rsidR="001658C8">
        <w:rPr>
          <w:rFonts w:ascii="Arial" w:hAnsi="Arial" w:cs="Arial"/>
          <w:lang w:val="en-GB"/>
        </w:rPr>
        <w:t xml:space="preserve"> </w:t>
      </w:r>
      <w:r w:rsidR="1F425D72" w:rsidRPr="39FB3147">
        <w:rPr>
          <w:rFonts w:ascii="Arial" w:hAnsi="Arial" w:cs="Arial"/>
          <w:lang w:val="en-GB"/>
        </w:rPr>
        <w:t xml:space="preserve">residue levels found in the food product itself (which are </w:t>
      </w:r>
      <w:r w:rsidR="00CA084D">
        <w:rPr>
          <w:rFonts w:ascii="Arial" w:hAnsi="Arial" w:cs="Arial"/>
          <w:lang w:val="en-GB"/>
        </w:rPr>
        <w:t xml:space="preserve">often </w:t>
      </w:r>
      <w:r w:rsidR="00426B47">
        <w:rPr>
          <w:rFonts w:ascii="Arial" w:hAnsi="Arial" w:cs="Arial"/>
          <w:lang w:val="en-GB"/>
        </w:rPr>
        <w:t>considerably</w:t>
      </w:r>
      <w:r w:rsidR="1F425D72" w:rsidRPr="39FB3147">
        <w:rPr>
          <w:rFonts w:ascii="Arial" w:hAnsi="Arial" w:cs="Arial"/>
          <w:lang w:val="en-GB"/>
        </w:rPr>
        <w:t xml:space="preserve"> lower than the </w:t>
      </w:r>
      <w:r w:rsidR="00426B47">
        <w:rPr>
          <w:rFonts w:ascii="Arial" w:hAnsi="Arial" w:cs="Arial"/>
          <w:lang w:val="en-GB"/>
        </w:rPr>
        <w:t xml:space="preserve">established </w:t>
      </w:r>
      <w:r w:rsidR="1F425D72" w:rsidRPr="39FB3147">
        <w:rPr>
          <w:rFonts w:ascii="Arial" w:hAnsi="Arial" w:cs="Arial"/>
          <w:lang w:val="en-GB"/>
        </w:rPr>
        <w:t>MRL</w:t>
      </w:r>
      <w:r w:rsidR="0037772B">
        <w:rPr>
          <w:rFonts w:ascii="Arial" w:hAnsi="Arial" w:cs="Arial"/>
          <w:lang w:val="en-GB"/>
        </w:rPr>
        <w:t>s</w:t>
      </w:r>
      <w:r w:rsidR="030DB1E1">
        <w:t xml:space="preserve"> </w:t>
      </w:r>
      <w:r w:rsidR="0037772B">
        <w:rPr>
          <w:rFonts w:ascii="Arial" w:hAnsi="Arial" w:cs="Arial"/>
          <w:lang w:val="en-GB"/>
        </w:rPr>
        <w:t>as demonstrated in the extensive EU monitoring programs</w:t>
      </w:r>
      <w:r w:rsidR="1F425D72" w:rsidRPr="39FB3147">
        <w:rPr>
          <w:rFonts w:ascii="Arial" w:hAnsi="Arial" w:cs="Arial"/>
          <w:lang w:val="en-GB"/>
        </w:rPr>
        <w:t xml:space="preserve">) </w:t>
      </w:r>
      <w:r w:rsidR="00426B47">
        <w:rPr>
          <w:rFonts w:ascii="Arial" w:hAnsi="Arial" w:cs="Arial"/>
          <w:lang w:val="en-GB"/>
        </w:rPr>
        <w:t xml:space="preserve">are considered in risk management actions </w:t>
      </w:r>
      <w:r w:rsidR="1F425D72" w:rsidRPr="39FB3147">
        <w:rPr>
          <w:rFonts w:ascii="Arial" w:hAnsi="Arial" w:cs="Arial"/>
          <w:lang w:val="en-GB"/>
        </w:rPr>
        <w:t xml:space="preserve">nor if the product in question is safe from a toxicological point of view. Instead, </w:t>
      </w:r>
      <w:r w:rsidR="1F425D72" w:rsidRPr="001658C8">
        <w:rPr>
          <w:rFonts w:ascii="Arial" w:hAnsi="Arial" w:cs="Arial"/>
          <w:lang w:val="en-GB"/>
        </w:rPr>
        <w:t xml:space="preserve">it should be possible to continue to place food on the market that has already been produced and to use and process it until </w:t>
      </w:r>
      <w:r w:rsidRPr="001658C8">
        <w:rPr>
          <w:rFonts w:ascii="Arial" w:hAnsi="Arial" w:cs="Arial"/>
          <w:lang w:val="en-GB"/>
        </w:rPr>
        <w:t xml:space="preserve">the </w:t>
      </w:r>
      <w:r w:rsidR="1F425D72" w:rsidRPr="001658C8">
        <w:rPr>
          <w:rFonts w:ascii="Arial" w:hAnsi="Arial" w:cs="Arial"/>
          <w:lang w:val="en-GB"/>
        </w:rPr>
        <w:t xml:space="preserve">end of </w:t>
      </w:r>
      <w:r w:rsidR="00760FDA" w:rsidRPr="00620D36">
        <w:rPr>
          <w:rFonts w:ascii="Arial" w:hAnsi="Arial" w:cs="Arial"/>
          <w:lang w:val="en-GB"/>
        </w:rPr>
        <w:t>its</w:t>
      </w:r>
      <w:r w:rsidR="00760FDA" w:rsidRPr="001658C8">
        <w:rPr>
          <w:rFonts w:ascii="Arial" w:hAnsi="Arial" w:cs="Arial"/>
          <w:lang w:val="en-GB"/>
        </w:rPr>
        <w:t xml:space="preserve"> </w:t>
      </w:r>
      <w:r w:rsidR="1F425D72" w:rsidRPr="001658C8">
        <w:rPr>
          <w:rFonts w:ascii="Arial" w:hAnsi="Arial" w:cs="Arial"/>
          <w:lang w:val="en-GB"/>
        </w:rPr>
        <w:t xml:space="preserve">shelf-life, provided it </w:t>
      </w:r>
      <w:r w:rsidRPr="001658C8">
        <w:rPr>
          <w:rFonts w:ascii="Arial" w:hAnsi="Arial" w:cs="Arial"/>
          <w:lang w:val="en-GB"/>
        </w:rPr>
        <w:t xml:space="preserve">is safe i.e. </w:t>
      </w:r>
      <w:r w:rsidR="4E3EF097" w:rsidRPr="001658C8">
        <w:rPr>
          <w:rFonts w:ascii="Arial" w:hAnsi="Arial" w:cs="Arial"/>
          <w:lang w:val="en-GB"/>
        </w:rPr>
        <w:t xml:space="preserve">the </w:t>
      </w:r>
      <w:r w:rsidR="00B135F0">
        <w:rPr>
          <w:rFonts w:ascii="Arial" w:hAnsi="Arial" w:cs="Arial"/>
          <w:lang w:val="en-GB"/>
        </w:rPr>
        <w:t xml:space="preserve">exposure from residues in a </w:t>
      </w:r>
      <w:r w:rsidR="4E3EF097" w:rsidRPr="001658C8">
        <w:rPr>
          <w:rFonts w:ascii="Arial" w:hAnsi="Arial" w:cs="Arial"/>
          <w:lang w:val="en-GB"/>
        </w:rPr>
        <w:t xml:space="preserve">concrete product </w:t>
      </w:r>
      <w:r w:rsidR="1F425D72" w:rsidRPr="001658C8">
        <w:rPr>
          <w:rFonts w:ascii="Arial" w:hAnsi="Arial" w:cs="Arial"/>
          <w:lang w:val="en-GB"/>
        </w:rPr>
        <w:t xml:space="preserve">does not exceed the toxicological reference levels. To estimate </w:t>
      </w:r>
      <w:r w:rsidR="1F425D72" w:rsidRPr="00FF6D5F">
        <w:rPr>
          <w:rFonts w:ascii="Arial" w:hAnsi="Arial" w:cs="Arial"/>
          <w:lang w:val="en-GB"/>
        </w:rPr>
        <w:t xml:space="preserve">if </w:t>
      </w:r>
      <w:r w:rsidR="002909F1">
        <w:rPr>
          <w:rFonts w:ascii="Arial" w:hAnsi="Arial" w:cs="Arial"/>
          <w:lang w:val="en-GB"/>
        </w:rPr>
        <w:t xml:space="preserve">the short-term consumption of </w:t>
      </w:r>
      <w:r w:rsidR="1F425D72" w:rsidRPr="00FF6D5F">
        <w:rPr>
          <w:rFonts w:ascii="Arial" w:hAnsi="Arial" w:cs="Arial"/>
          <w:lang w:val="en-GB"/>
        </w:rPr>
        <w:t>a food is safe, a threshold level could be calculated</w:t>
      </w:r>
      <w:r w:rsidRPr="00FF6D5F">
        <w:rPr>
          <w:rFonts w:ascii="Arial" w:hAnsi="Arial" w:cs="Arial"/>
          <w:lang w:val="en-GB"/>
        </w:rPr>
        <w:t>,</w:t>
      </w:r>
      <w:r w:rsidR="1F425D72" w:rsidRPr="00FF6D5F">
        <w:rPr>
          <w:rFonts w:ascii="Arial" w:hAnsi="Arial" w:cs="Arial"/>
          <w:lang w:val="en-GB"/>
        </w:rPr>
        <w:t xml:space="preserve"> either by EFSA or with the help of the EFSA PRIMo model</w:t>
      </w:r>
      <w:r w:rsidRPr="00FF6D5F">
        <w:rPr>
          <w:rFonts w:ascii="Arial" w:hAnsi="Arial" w:cs="Arial"/>
          <w:lang w:val="en-GB"/>
        </w:rPr>
        <w:t>,</w:t>
      </w:r>
      <w:r w:rsidR="1F425D72" w:rsidRPr="00FF6D5F">
        <w:rPr>
          <w:rFonts w:ascii="Arial" w:hAnsi="Arial" w:cs="Arial"/>
          <w:lang w:val="en-GB"/>
        </w:rPr>
        <w:t xml:space="preserve"> that corresponds to a residue level that does not exceed the ARfD</w:t>
      </w:r>
      <w:r w:rsidR="1F18E887" w:rsidRPr="00FF6D5F">
        <w:rPr>
          <w:rFonts w:ascii="Arial" w:hAnsi="Arial" w:cs="Arial"/>
          <w:lang w:val="en-GB"/>
        </w:rPr>
        <w:t xml:space="preserve"> </w:t>
      </w:r>
      <w:r w:rsidR="1F18E887" w:rsidRPr="001658C8">
        <w:rPr>
          <w:rFonts w:ascii="Arial" w:hAnsi="Arial" w:cs="Arial"/>
          <w:lang w:val="en-GB"/>
        </w:rPr>
        <w:t>(i.e. is slightly lower than the ARfD)</w:t>
      </w:r>
      <w:r w:rsidR="1F425D72" w:rsidRPr="001658C8">
        <w:rPr>
          <w:rFonts w:ascii="Arial" w:hAnsi="Arial" w:cs="Arial"/>
          <w:lang w:val="en-GB"/>
        </w:rPr>
        <w:t>.</w:t>
      </w:r>
      <w:r w:rsidR="00854379">
        <w:rPr>
          <w:rFonts w:ascii="Arial" w:hAnsi="Arial" w:cs="Arial"/>
          <w:lang w:val="en-GB"/>
        </w:rPr>
        <w:t xml:space="preserve"> </w:t>
      </w:r>
    </w:p>
    <w:p w14:paraId="7BA1B769" w14:textId="0606284A" w:rsidR="00C46F5D" w:rsidRDefault="00C46F5D">
      <w:pPr>
        <w:rPr>
          <w:rFonts w:ascii="Arial" w:hAnsi="Arial" w:cs="Arial"/>
          <w:lang w:val="en-GB"/>
        </w:rPr>
      </w:pPr>
      <w:r>
        <w:rPr>
          <w:rFonts w:ascii="Arial" w:hAnsi="Arial" w:cs="Arial"/>
          <w:lang w:val="en-GB"/>
        </w:rPr>
        <w:br w:type="page"/>
      </w:r>
    </w:p>
    <w:p w14:paraId="1AB65279" w14:textId="5FA4AFD7" w:rsidR="00C46F5D" w:rsidRDefault="00C46F5D" w:rsidP="00C46F5D">
      <w:pPr>
        <w:jc w:val="both"/>
        <w:rPr>
          <w:rFonts w:ascii="Arial" w:hAnsi="Arial" w:cs="Arial"/>
          <w:b/>
          <w:bCs/>
          <w:sz w:val="24"/>
          <w:szCs w:val="24"/>
          <w:u w:val="single"/>
        </w:rPr>
      </w:pPr>
      <w:r>
        <w:rPr>
          <w:rFonts w:ascii="Arial" w:hAnsi="Arial" w:cs="Arial"/>
          <w:b/>
          <w:bCs/>
          <w:sz w:val="24"/>
          <w:szCs w:val="24"/>
          <w:u w:val="single"/>
        </w:rPr>
        <w:lastRenderedPageBreak/>
        <w:t>Annex</w:t>
      </w:r>
      <w:r w:rsidR="00B574DF">
        <w:rPr>
          <w:rFonts w:ascii="Arial" w:hAnsi="Arial" w:cs="Arial"/>
          <w:b/>
          <w:bCs/>
          <w:sz w:val="24"/>
          <w:szCs w:val="24"/>
          <w:u w:val="single"/>
        </w:rPr>
        <w:t>: N</w:t>
      </w:r>
      <w:r>
        <w:rPr>
          <w:rFonts w:ascii="Arial" w:hAnsi="Arial" w:cs="Arial"/>
          <w:b/>
          <w:bCs/>
          <w:sz w:val="24"/>
          <w:szCs w:val="24"/>
          <w:u w:val="single"/>
        </w:rPr>
        <w:t>on-exhaustive list of e</w:t>
      </w:r>
      <w:r w:rsidRPr="00C46F5D">
        <w:rPr>
          <w:rFonts w:ascii="Arial" w:hAnsi="Arial" w:cs="Arial"/>
          <w:b/>
          <w:bCs/>
          <w:sz w:val="24"/>
          <w:szCs w:val="24"/>
          <w:u w:val="single"/>
        </w:rPr>
        <w:t>xamples</w:t>
      </w:r>
      <w:r>
        <w:rPr>
          <w:rFonts w:ascii="Arial" w:hAnsi="Arial" w:cs="Arial"/>
          <w:b/>
          <w:bCs/>
          <w:sz w:val="24"/>
          <w:szCs w:val="24"/>
          <w:u w:val="single"/>
        </w:rPr>
        <w:t xml:space="preserve"> </w:t>
      </w:r>
      <w:r w:rsidRPr="00C46F5D">
        <w:rPr>
          <w:rFonts w:ascii="Arial" w:hAnsi="Arial" w:cs="Arial"/>
          <w:b/>
          <w:bCs/>
          <w:sz w:val="24"/>
          <w:szCs w:val="24"/>
          <w:u w:val="single"/>
        </w:rPr>
        <w:t xml:space="preserve">where </w:t>
      </w:r>
      <w:r>
        <w:rPr>
          <w:rFonts w:ascii="Arial" w:hAnsi="Arial" w:cs="Arial"/>
          <w:b/>
          <w:bCs/>
          <w:sz w:val="24"/>
          <w:szCs w:val="24"/>
          <w:u w:val="single"/>
        </w:rPr>
        <w:t xml:space="preserve">transitional measures were </w:t>
      </w:r>
      <w:r w:rsidR="00F60F23">
        <w:rPr>
          <w:rFonts w:ascii="Arial" w:hAnsi="Arial" w:cs="Arial"/>
          <w:b/>
          <w:bCs/>
          <w:sz w:val="24"/>
          <w:szCs w:val="24"/>
          <w:u w:val="single"/>
        </w:rPr>
        <w:t xml:space="preserve">not </w:t>
      </w:r>
      <w:r>
        <w:rPr>
          <w:rFonts w:ascii="Arial" w:hAnsi="Arial" w:cs="Arial"/>
          <w:b/>
          <w:bCs/>
          <w:sz w:val="24"/>
          <w:szCs w:val="24"/>
          <w:u w:val="single"/>
        </w:rPr>
        <w:t>granted</w:t>
      </w:r>
      <w:r w:rsidR="007521F5">
        <w:rPr>
          <w:rFonts w:ascii="Arial" w:hAnsi="Arial" w:cs="Arial"/>
          <w:b/>
          <w:bCs/>
          <w:sz w:val="24"/>
          <w:szCs w:val="24"/>
          <w:u w:val="single"/>
        </w:rPr>
        <w:t xml:space="preserve"> for some commodities</w:t>
      </w:r>
    </w:p>
    <w:p w14:paraId="4D9BD498" w14:textId="77777777" w:rsidR="00C46F5D" w:rsidRPr="000E6A87" w:rsidRDefault="00C46F5D" w:rsidP="00C46F5D">
      <w:pPr>
        <w:jc w:val="both"/>
        <w:rPr>
          <w:rFonts w:ascii="Arial" w:hAnsi="Arial" w:cs="Arial"/>
          <w:b/>
          <w:bCs/>
          <w:sz w:val="24"/>
          <w:szCs w:val="24"/>
          <w:u w:val="single"/>
        </w:rPr>
      </w:pPr>
    </w:p>
    <w:p w14:paraId="6E37B4F1" w14:textId="77777777" w:rsidR="00C46F5D" w:rsidRPr="00E302F4" w:rsidRDefault="00C46F5D" w:rsidP="00C46F5D">
      <w:pPr>
        <w:jc w:val="both"/>
        <w:rPr>
          <w:rFonts w:ascii="Arial" w:hAnsi="Arial" w:cs="Arial"/>
        </w:rPr>
      </w:pPr>
      <w:r w:rsidRPr="000E6A87">
        <w:rPr>
          <w:rFonts w:ascii="Arial" w:hAnsi="Arial" w:cs="Arial"/>
          <w:b/>
          <w:bCs/>
        </w:rPr>
        <w:t xml:space="preserve">Thiabendazol </w:t>
      </w:r>
      <w:hyperlink r:id="rId13" w:history="1">
        <w:r w:rsidRPr="00E302F4">
          <w:rPr>
            <w:rStyle w:val="Hyperlink"/>
            <w:rFonts w:ascii="Arial" w:hAnsi="Arial" w:cs="Arial"/>
          </w:rPr>
          <w:t>Reg. (EU) 2017/1164</w:t>
        </w:r>
      </w:hyperlink>
    </w:p>
    <w:p w14:paraId="70CC579E" w14:textId="1503080D" w:rsidR="00C46F5D" w:rsidRPr="000E6A87" w:rsidRDefault="00C46F5D" w:rsidP="00C46F5D">
      <w:pPr>
        <w:jc w:val="both"/>
        <w:rPr>
          <w:rFonts w:ascii="Arial" w:hAnsi="Arial" w:cs="Arial"/>
        </w:rPr>
      </w:pPr>
      <w:r>
        <w:rPr>
          <w:rFonts w:ascii="Arial" w:hAnsi="Arial" w:cs="Arial"/>
        </w:rPr>
        <w:t>N</w:t>
      </w:r>
      <w:r w:rsidRPr="000E6A87">
        <w:rPr>
          <w:rFonts w:ascii="Arial" w:hAnsi="Arial" w:cs="Arial"/>
        </w:rPr>
        <w:t>o transitional measures except the deferral period</w:t>
      </w:r>
      <w:r w:rsidR="00B135F0">
        <w:rPr>
          <w:rFonts w:ascii="Arial" w:hAnsi="Arial" w:cs="Arial"/>
        </w:rPr>
        <w:t xml:space="preserve"> of 6 months</w:t>
      </w:r>
      <w:r w:rsidRPr="000E6A87">
        <w:rPr>
          <w:rFonts w:ascii="Arial" w:hAnsi="Arial" w:cs="Arial"/>
        </w:rPr>
        <w:t xml:space="preserve"> for: mangoes (MRL 5 mg/kg -&gt; 0,01* mg/kg)</w:t>
      </w:r>
      <w:r>
        <w:rPr>
          <w:rFonts w:ascii="Arial" w:hAnsi="Arial" w:cs="Arial"/>
        </w:rPr>
        <w:t xml:space="preserve"> </w:t>
      </w:r>
      <w:r w:rsidRPr="000E6A87">
        <w:rPr>
          <w:rFonts w:ascii="Arial" w:hAnsi="Arial" w:cs="Arial"/>
        </w:rPr>
        <w:t>and cultivated fungi (MRL 10 mg/kg -&gt; 0,01* mg/kg)</w:t>
      </w:r>
      <w:r>
        <w:rPr>
          <w:rFonts w:ascii="Arial" w:hAnsi="Arial" w:cs="Arial"/>
        </w:rPr>
        <w:t xml:space="preserve">. </w:t>
      </w:r>
      <w:r w:rsidRPr="000E6A87">
        <w:rPr>
          <w:rFonts w:ascii="Arial" w:hAnsi="Arial" w:cs="Arial"/>
        </w:rPr>
        <w:t>With the same Reg., some MRLs were even raised, e.g. for citrus fruit from 5 mg/kg to 7 mg/kg and for bananas from 5 mg/kg to 6 mg/kg. Although MRLs were also lowered for e.g. apples and pears (each 5 mg/kg -&gt; 4 mg/kg)</w:t>
      </w:r>
      <w:r>
        <w:rPr>
          <w:rFonts w:ascii="Arial" w:hAnsi="Arial" w:cs="Arial"/>
        </w:rPr>
        <w:t xml:space="preserve"> and</w:t>
      </w:r>
      <w:r w:rsidRPr="000E6A87">
        <w:rPr>
          <w:rFonts w:ascii="Arial" w:hAnsi="Arial" w:cs="Arial"/>
        </w:rPr>
        <w:t xml:space="preserve"> </w:t>
      </w:r>
      <w:r>
        <w:rPr>
          <w:rFonts w:ascii="Arial" w:hAnsi="Arial" w:cs="Arial"/>
        </w:rPr>
        <w:t xml:space="preserve">sweet potatoes (MRL 15 mg/kg </w:t>
      </w:r>
      <w:r w:rsidRPr="000E6A87">
        <w:rPr>
          <w:rFonts w:ascii="Arial" w:hAnsi="Arial" w:cs="Arial"/>
        </w:rPr>
        <w:t>-&gt; 0,01* mg/kg</w:t>
      </w:r>
      <w:r>
        <w:rPr>
          <w:rFonts w:ascii="Arial" w:hAnsi="Arial" w:cs="Arial"/>
        </w:rPr>
        <w:t xml:space="preserve">) </w:t>
      </w:r>
      <w:r w:rsidRPr="000E6A87">
        <w:rPr>
          <w:rFonts w:ascii="Arial" w:hAnsi="Arial" w:cs="Arial"/>
        </w:rPr>
        <w:t>for those commodities transitional measures until shelf life were granted.</w:t>
      </w:r>
    </w:p>
    <w:p w14:paraId="6A4A46F3" w14:textId="77777777" w:rsidR="00C46F5D" w:rsidRPr="000E6A87" w:rsidRDefault="00C46F5D" w:rsidP="00C46F5D">
      <w:pPr>
        <w:jc w:val="both"/>
        <w:rPr>
          <w:rFonts w:ascii="Arial" w:hAnsi="Arial" w:cs="Arial"/>
        </w:rPr>
      </w:pPr>
      <w:r w:rsidRPr="000E6A87">
        <w:rPr>
          <w:rFonts w:ascii="Arial" w:hAnsi="Arial" w:cs="Arial"/>
        </w:rPr>
        <w:t>With the same Regulation, also some MRLs for Acrinathrin were changed.</w:t>
      </w:r>
    </w:p>
    <w:p w14:paraId="3E90D08A" w14:textId="77777777" w:rsidR="00C46F5D" w:rsidRPr="000E6A87" w:rsidRDefault="00C46F5D" w:rsidP="00C46F5D">
      <w:pPr>
        <w:jc w:val="both"/>
        <w:rPr>
          <w:rFonts w:ascii="Arial" w:hAnsi="Arial" w:cs="Arial"/>
        </w:rPr>
      </w:pPr>
    </w:p>
    <w:p w14:paraId="549D0610" w14:textId="77777777" w:rsidR="00C46F5D" w:rsidRPr="00E302F4" w:rsidRDefault="00C46F5D" w:rsidP="00C46F5D">
      <w:pPr>
        <w:jc w:val="both"/>
        <w:rPr>
          <w:rFonts w:ascii="Arial" w:hAnsi="Arial" w:cs="Arial"/>
        </w:rPr>
      </w:pPr>
      <w:r w:rsidRPr="000E6A87">
        <w:rPr>
          <w:rFonts w:ascii="Arial" w:hAnsi="Arial" w:cs="Arial"/>
          <w:b/>
          <w:bCs/>
        </w:rPr>
        <w:t xml:space="preserve">Acrinathrin </w:t>
      </w:r>
      <w:hyperlink r:id="rId14" w:history="1">
        <w:r w:rsidRPr="00E302F4">
          <w:rPr>
            <w:rStyle w:val="Hyperlink"/>
            <w:rFonts w:ascii="Arial" w:hAnsi="Arial" w:cs="Arial"/>
          </w:rPr>
          <w:t>Reg. (EU) 2017/1164</w:t>
        </w:r>
      </w:hyperlink>
    </w:p>
    <w:p w14:paraId="26FE7C0A" w14:textId="3058A115" w:rsidR="00C46F5D" w:rsidRPr="000E6A87" w:rsidRDefault="00C46F5D" w:rsidP="00C46F5D">
      <w:pPr>
        <w:jc w:val="both"/>
        <w:rPr>
          <w:rFonts w:ascii="Arial" w:hAnsi="Arial" w:cs="Arial"/>
        </w:rPr>
      </w:pPr>
      <w:r>
        <w:rPr>
          <w:rFonts w:ascii="Arial" w:hAnsi="Arial" w:cs="Arial"/>
        </w:rPr>
        <w:t>N</w:t>
      </w:r>
      <w:r w:rsidRPr="000E6A87">
        <w:rPr>
          <w:rFonts w:ascii="Arial" w:hAnsi="Arial" w:cs="Arial"/>
        </w:rPr>
        <w:t xml:space="preserve">o transitional measures except the deferral period </w:t>
      </w:r>
      <w:r w:rsidR="00B135F0">
        <w:rPr>
          <w:rFonts w:ascii="Arial" w:hAnsi="Arial" w:cs="Arial"/>
        </w:rPr>
        <w:t xml:space="preserve">of 6 months </w:t>
      </w:r>
      <w:r w:rsidRPr="000E6A87">
        <w:rPr>
          <w:rFonts w:ascii="Arial" w:hAnsi="Arial" w:cs="Arial"/>
        </w:rPr>
        <w:t>for: bananas (MRL 0,5 mg/kg -&gt; 0,02* mg/kg), pepper (MRL 0,2 mg/kg -&gt; 0,02</w:t>
      </w:r>
      <w:r>
        <w:rPr>
          <w:rFonts w:ascii="Arial" w:hAnsi="Arial" w:cs="Arial"/>
        </w:rPr>
        <w:t>*</w:t>
      </w:r>
      <w:r w:rsidRPr="000E6A87">
        <w:rPr>
          <w:rFonts w:ascii="Arial" w:hAnsi="Arial" w:cs="Arial"/>
        </w:rPr>
        <w:t xml:space="preserve"> mg/kg), peaches (MRL 0,2 mg/kg -&gt; 0,02</w:t>
      </w:r>
      <w:r>
        <w:rPr>
          <w:rFonts w:ascii="Arial" w:hAnsi="Arial" w:cs="Arial"/>
        </w:rPr>
        <w:t>*</w:t>
      </w:r>
      <w:r w:rsidRPr="000E6A87">
        <w:rPr>
          <w:rFonts w:ascii="Arial" w:hAnsi="Arial" w:cs="Arial"/>
        </w:rPr>
        <w:t xml:space="preserve"> mg/kg), apricots (MRL 0,3 mg/kg -&gt; 0,02</w:t>
      </w:r>
      <w:r>
        <w:rPr>
          <w:rFonts w:ascii="Arial" w:hAnsi="Arial" w:cs="Arial"/>
        </w:rPr>
        <w:t>*</w:t>
      </w:r>
      <w:r w:rsidRPr="000E6A87">
        <w:rPr>
          <w:rFonts w:ascii="Arial" w:hAnsi="Arial" w:cs="Arial"/>
        </w:rPr>
        <w:t xml:space="preserve"> mg/kg), melons and watermelons.</w:t>
      </w:r>
    </w:p>
    <w:p w14:paraId="0BE95883" w14:textId="77777777" w:rsidR="00C46F5D" w:rsidRPr="000E6A87" w:rsidRDefault="00C46F5D" w:rsidP="00C46F5D">
      <w:pPr>
        <w:jc w:val="both"/>
        <w:rPr>
          <w:rFonts w:ascii="Arial" w:hAnsi="Arial" w:cs="Arial"/>
        </w:rPr>
      </w:pPr>
      <w:r>
        <w:rPr>
          <w:rFonts w:ascii="Arial" w:hAnsi="Arial" w:cs="Arial"/>
        </w:rPr>
        <w:t xml:space="preserve">Reported </w:t>
      </w:r>
      <w:r w:rsidRPr="000E6A87">
        <w:rPr>
          <w:rFonts w:ascii="Arial" w:hAnsi="Arial" w:cs="Arial"/>
        </w:rPr>
        <w:t>problems in pepper</w:t>
      </w:r>
      <w:r>
        <w:rPr>
          <w:rFonts w:ascii="Arial" w:hAnsi="Arial" w:cs="Arial"/>
        </w:rPr>
        <w:t xml:space="preserve"> because of the lack of transitional periods</w:t>
      </w:r>
      <w:r w:rsidRPr="000E6A87">
        <w:rPr>
          <w:rFonts w:ascii="Arial" w:hAnsi="Arial" w:cs="Arial"/>
        </w:rPr>
        <w:t>. With the regulation, also e.g. the MRL for tomatoes was lowered (from 0,1 mg/kg to 0,02* mg/kg), but for tomatoes transitional measures until shelf life were granted</w:t>
      </w:r>
      <w:r>
        <w:rPr>
          <w:rFonts w:ascii="Arial" w:hAnsi="Arial" w:cs="Arial"/>
        </w:rPr>
        <w:t>.</w:t>
      </w:r>
    </w:p>
    <w:p w14:paraId="11F55B01" w14:textId="77777777" w:rsidR="00C46F5D" w:rsidRPr="000E6A87" w:rsidRDefault="00C46F5D" w:rsidP="00C46F5D">
      <w:pPr>
        <w:jc w:val="both"/>
        <w:rPr>
          <w:rFonts w:ascii="Arial" w:hAnsi="Arial" w:cs="Arial"/>
        </w:rPr>
      </w:pPr>
    </w:p>
    <w:p w14:paraId="0CB0FECC" w14:textId="77777777" w:rsidR="00C46F5D" w:rsidRPr="000E6A87" w:rsidRDefault="00C46F5D" w:rsidP="00C46F5D">
      <w:pPr>
        <w:jc w:val="both"/>
        <w:rPr>
          <w:rFonts w:ascii="Arial" w:hAnsi="Arial" w:cs="Arial"/>
        </w:rPr>
      </w:pPr>
      <w:r w:rsidRPr="000E6A87">
        <w:rPr>
          <w:rFonts w:ascii="Arial" w:hAnsi="Arial" w:cs="Arial"/>
          <w:b/>
          <w:bCs/>
        </w:rPr>
        <w:t xml:space="preserve">Prochloraz </w:t>
      </w:r>
      <w:hyperlink r:id="rId15" w:history="1">
        <w:r w:rsidRPr="00C521C2">
          <w:rPr>
            <w:rStyle w:val="Hyperlink"/>
            <w:rFonts w:ascii="Arial" w:hAnsi="Arial" w:cs="Arial"/>
          </w:rPr>
          <w:t>Reg. (EU) 2020/192</w:t>
        </w:r>
      </w:hyperlink>
    </w:p>
    <w:p w14:paraId="7D2B8BE2" w14:textId="53286B9C" w:rsidR="00C46F5D" w:rsidRDefault="00C46F5D" w:rsidP="00C46F5D">
      <w:pPr>
        <w:jc w:val="both"/>
        <w:rPr>
          <w:rFonts w:ascii="Arial" w:hAnsi="Arial" w:cs="Arial"/>
        </w:rPr>
      </w:pPr>
      <w:r>
        <w:rPr>
          <w:rFonts w:ascii="Arial" w:hAnsi="Arial" w:cs="Arial"/>
        </w:rPr>
        <w:t>N</w:t>
      </w:r>
      <w:r w:rsidRPr="000E6A87">
        <w:rPr>
          <w:rFonts w:ascii="Arial" w:hAnsi="Arial" w:cs="Arial"/>
        </w:rPr>
        <w:t>o transitional measures except the deferral period</w:t>
      </w:r>
      <w:r w:rsidR="00B135F0">
        <w:rPr>
          <w:rFonts w:ascii="Arial" w:hAnsi="Arial" w:cs="Arial"/>
        </w:rPr>
        <w:t xml:space="preserve"> of 6 months</w:t>
      </w:r>
      <w:r w:rsidRPr="000E6A87">
        <w:rPr>
          <w:rFonts w:ascii="Arial" w:hAnsi="Arial" w:cs="Arial"/>
        </w:rPr>
        <w:t xml:space="preserve"> for: citrus fruit (MRL 10 mg/kg -&gt; 0,03* mg/kg), bananas (MRL 0,05* mg/kg -&gt; 0,03* mg/kg), mangoes (MRL 5 mg/kg -&gt; 0,03* mg/kg), pineapple (MRL 5 mg/kg -&gt; 0,03* mg/kg), kiwis (MRL 0,05* mg/kg -&gt; 0,03* mg/kg) (and bovine liver). </w:t>
      </w:r>
    </w:p>
    <w:p w14:paraId="0F168B5D" w14:textId="77777777" w:rsidR="00C46F5D" w:rsidRPr="000E6A87" w:rsidRDefault="00C46F5D" w:rsidP="00C46F5D">
      <w:pPr>
        <w:jc w:val="both"/>
        <w:rPr>
          <w:rFonts w:ascii="Arial" w:hAnsi="Arial" w:cs="Arial"/>
        </w:rPr>
      </w:pPr>
      <w:r w:rsidRPr="000E6A87">
        <w:rPr>
          <w:rFonts w:ascii="Arial" w:hAnsi="Arial" w:cs="Arial"/>
        </w:rPr>
        <w:t xml:space="preserve">On the other hand, several MRLs were raised (e.g. lychees, passion fruit, pomegranates from 0,05* mg/kg to 7 mg/kg each). </w:t>
      </w:r>
    </w:p>
    <w:p w14:paraId="1ADACF6B" w14:textId="77777777" w:rsidR="00C46F5D" w:rsidRDefault="00C46F5D" w:rsidP="00C46F5D">
      <w:pPr>
        <w:jc w:val="both"/>
        <w:rPr>
          <w:rFonts w:ascii="Arial" w:hAnsi="Arial" w:cs="Arial"/>
        </w:rPr>
      </w:pPr>
    </w:p>
    <w:p w14:paraId="575402FA" w14:textId="77777777" w:rsidR="00C46F5D" w:rsidRPr="000E6A87" w:rsidRDefault="00C46F5D" w:rsidP="00C46F5D">
      <w:pPr>
        <w:jc w:val="both"/>
        <w:rPr>
          <w:rFonts w:ascii="Arial" w:hAnsi="Arial" w:cs="Arial"/>
          <w:b/>
          <w:bCs/>
        </w:rPr>
      </w:pPr>
      <w:r w:rsidRPr="000E6A87">
        <w:rPr>
          <w:rFonts w:ascii="Arial" w:hAnsi="Arial" w:cs="Arial"/>
          <w:b/>
          <w:bCs/>
        </w:rPr>
        <w:t xml:space="preserve">Imazalil </w:t>
      </w:r>
      <w:hyperlink r:id="rId16" w:history="1">
        <w:r w:rsidRPr="00C521C2">
          <w:rPr>
            <w:rStyle w:val="Hyperlink"/>
            <w:rFonts w:ascii="Arial" w:hAnsi="Arial" w:cs="Arial"/>
          </w:rPr>
          <w:t>Reg. (EU) 2019/1582</w:t>
        </w:r>
      </w:hyperlink>
    </w:p>
    <w:p w14:paraId="4D03191F" w14:textId="50B5165D" w:rsidR="00C46F5D" w:rsidRPr="000E6A87" w:rsidRDefault="00C46F5D" w:rsidP="00C46F5D">
      <w:pPr>
        <w:jc w:val="both"/>
        <w:rPr>
          <w:rFonts w:ascii="Arial" w:hAnsi="Arial" w:cs="Arial"/>
        </w:rPr>
      </w:pPr>
      <w:r>
        <w:rPr>
          <w:rFonts w:ascii="Arial" w:hAnsi="Arial" w:cs="Arial"/>
        </w:rPr>
        <w:t>N</w:t>
      </w:r>
      <w:r w:rsidRPr="000E6A87">
        <w:rPr>
          <w:rFonts w:ascii="Arial" w:hAnsi="Arial" w:cs="Arial"/>
        </w:rPr>
        <w:t>o transitional measures except the deferral period</w:t>
      </w:r>
      <w:r w:rsidR="00B135F0">
        <w:rPr>
          <w:rFonts w:ascii="Arial" w:hAnsi="Arial" w:cs="Arial"/>
        </w:rPr>
        <w:t xml:space="preserve"> of 6 months</w:t>
      </w:r>
      <w:r w:rsidRPr="000E6A87">
        <w:rPr>
          <w:rFonts w:ascii="Arial" w:hAnsi="Arial" w:cs="Arial"/>
        </w:rPr>
        <w:t xml:space="preserve"> for: grapefruits (MRL 5 mg/kg -&gt; 4 mg/kg), oranges (MRL 5 mg/kg -&gt; 4 mg/kg), apples (MRL 2 mg/kg -&gt; 0,01* mg/kg), pears (MRL 2 mg/kg -&gt; 0,01* mg/kg), medlars (MRL 5 mg/kg -&gt; 0,01* mg/kg), bananas (MRL 2 mg/kg -&gt; 0,01* mg/kg), potatoes (MRL 3 mg/kg -&gt; 0,01* mg/kg) (and bovine liver).</w:t>
      </w:r>
    </w:p>
    <w:p w14:paraId="51FFA7D5" w14:textId="5683E269" w:rsidR="002361F9" w:rsidRDefault="00C46F5D" w:rsidP="00B574DF">
      <w:pPr>
        <w:jc w:val="both"/>
        <w:rPr>
          <w:rFonts w:ascii="Arial" w:hAnsi="Arial" w:cs="Arial"/>
          <w:lang w:val="en-GB"/>
        </w:rPr>
      </w:pPr>
      <w:r>
        <w:rPr>
          <w:rFonts w:ascii="Arial" w:hAnsi="Arial" w:cs="Arial"/>
        </w:rPr>
        <w:t>B</w:t>
      </w:r>
      <w:r w:rsidRPr="000E6A87">
        <w:rPr>
          <w:rFonts w:ascii="Arial" w:hAnsi="Arial" w:cs="Arial"/>
        </w:rPr>
        <w:t xml:space="preserve">ig problem </w:t>
      </w:r>
      <w:r>
        <w:rPr>
          <w:rFonts w:ascii="Arial" w:hAnsi="Arial" w:cs="Arial"/>
        </w:rPr>
        <w:t xml:space="preserve">reported </w:t>
      </w:r>
      <w:r w:rsidRPr="000E6A87">
        <w:rPr>
          <w:rFonts w:ascii="Arial" w:hAnsi="Arial" w:cs="Arial"/>
        </w:rPr>
        <w:t xml:space="preserve">for bananas and </w:t>
      </w:r>
      <w:r>
        <w:rPr>
          <w:rFonts w:ascii="Arial" w:hAnsi="Arial" w:cs="Arial"/>
        </w:rPr>
        <w:t xml:space="preserve">the lowering of the MRL is </w:t>
      </w:r>
      <w:r w:rsidRPr="000E6A87">
        <w:rPr>
          <w:rFonts w:ascii="Arial" w:hAnsi="Arial" w:cs="Arial"/>
        </w:rPr>
        <w:t xml:space="preserve">only related to the fact that no fall back GAP in the EU was found (not surprising for </w:t>
      </w:r>
      <w:r>
        <w:rPr>
          <w:rFonts w:ascii="Arial" w:hAnsi="Arial" w:cs="Arial"/>
        </w:rPr>
        <w:t xml:space="preserve">a </w:t>
      </w:r>
      <w:r w:rsidRPr="000E6A87">
        <w:rPr>
          <w:rFonts w:ascii="Arial" w:hAnsi="Arial" w:cs="Arial"/>
        </w:rPr>
        <w:t xml:space="preserve">tropical fruit). For grapefruits and oranges, fall back GAPs were found in the EU, thus, a reduction of the MRL to the LOQ could be avoided. With the regulation, also some MRLs were raised (e.g. strawberries from 0,05* mg/kg to 2 mg/kg). </w:t>
      </w:r>
    </w:p>
    <w:sectPr w:rsidR="002361F9" w:rsidSect="006B798C">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25A80" w14:textId="77777777" w:rsidR="002907A0" w:rsidRDefault="002907A0" w:rsidP="000F73F3">
      <w:pPr>
        <w:spacing w:after="0" w:line="240" w:lineRule="auto"/>
      </w:pPr>
      <w:r>
        <w:separator/>
      </w:r>
    </w:p>
  </w:endnote>
  <w:endnote w:type="continuationSeparator" w:id="0">
    <w:p w14:paraId="2AF39F0E" w14:textId="77777777" w:rsidR="002907A0" w:rsidRDefault="002907A0" w:rsidP="000F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7141" w14:textId="2C29EAE0" w:rsidR="000F73F3" w:rsidRPr="006B798C" w:rsidRDefault="006B798C" w:rsidP="006B798C">
    <w:pPr>
      <w:pStyle w:val="Footer"/>
      <w:jc w:val="right"/>
      <w:rPr>
        <w:rFonts w:ascii="Arial" w:hAnsi="Arial" w:cs="Arial"/>
        <w:color w:val="333399"/>
        <w:sz w:val="18"/>
      </w:rPr>
    </w:pPr>
    <w:r w:rsidRPr="006B798C">
      <w:rPr>
        <w:rFonts w:ascii="Arial" w:hAnsi="Arial" w:cs="Arial"/>
        <w:color w:val="333399"/>
        <w:sz w:val="18"/>
      </w:rPr>
      <w:fldChar w:fldCharType="begin"/>
    </w:r>
    <w:r w:rsidRPr="006B798C">
      <w:rPr>
        <w:rFonts w:ascii="Arial" w:hAnsi="Arial" w:cs="Arial"/>
        <w:color w:val="333399"/>
        <w:sz w:val="18"/>
      </w:rPr>
      <w:instrText xml:space="preserve"> PAGE \* MERGEFORMAT </w:instrText>
    </w:r>
    <w:r w:rsidRPr="006B798C">
      <w:rPr>
        <w:rFonts w:ascii="Arial" w:hAnsi="Arial" w:cs="Arial"/>
        <w:color w:val="333399"/>
        <w:sz w:val="18"/>
      </w:rPr>
      <w:fldChar w:fldCharType="separate"/>
    </w:r>
    <w:r w:rsidR="00642611">
      <w:rPr>
        <w:rFonts w:ascii="Arial" w:hAnsi="Arial" w:cs="Arial"/>
        <w:noProof/>
        <w:color w:val="333399"/>
        <w:sz w:val="18"/>
      </w:rPr>
      <w:t>6</w:t>
    </w:r>
    <w:r w:rsidRPr="006B798C">
      <w:rPr>
        <w:rFonts w:ascii="Arial" w:hAnsi="Arial" w:cs="Arial"/>
        <w:color w:val="333399"/>
        <w:sz w:val="18"/>
      </w:rPr>
      <w:fldChar w:fldCharType="end"/>
    </w:r>
    <w:r w:rsidRPr="006B798C">
      <w:rPr>
        <w:rFonts w:ascii="Arial" w:hAnsi="Arial" w:cs="Arial"/>
        <w:color w:val="333399"/>
        <w:sz w:val="18"/>
      </w:rPr>
      <w:t>/</w:t>
    </w:r>
    <w:r w:rsidRPr="006B798C">
      <w:rPr>
        <w:rFonts w:ascii="Arial" w:hAnsi="Arial" w:cs="Arial"/>
        <w:color w:val="333399"/>
        <w:sz w:val="18"/>
      </w:rPr>
      <w:fldChar w:fldCharType="begin"/>
    </w:r>
    <w:r w:rsidRPr="006B798C">
      <w:rPr>
        <w:rFonts w:ascii="Arial" w:hAnsi="Arial" w:cs="Arial"/>
        <w:color w:val="333399"/>
        <w:sz w:val="18"/>
      </w:rPr>
      <w:instrText xml:space="preserve"> NUMPAGES \* MERGEFORMAT </w:instrText>
    </w:r>
    <w:r w:rsidRPr="006B798C">
      <w:rPr>
        <w:rFonts w:ascii="Arial" w:hAnsi="Arial" w:cs="Arial"/>
        <w:color w:val="333399"/>
        <w:sz w:val="18"/>
      </w:rPr>
      <w:fldChar w:fldCharType="separate"/>
    </w:r>
    <w:r w:rsidR="00642611">
      <w:rPr>
        <w:rFonts w:ascii="Arial" w:hAnsi="Arial" w:cs="Arial"/>
        <w:noProof/>
        <w:color w:val="333399"/>
        <w:sz w:val="18"/>
      </w:rPr>
      <w:t>6</w:t>
    </w:r>
    <w:r w:rsidRPr="006B798C">
      <w:rPr>
        <w:rFonts w:ascii="Arial" w:hAnsi="Arial" w:cs="Arial"/>
        <w:color w:val="333399"/>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8F7A" w14:textId="77777777" w:rsidR="002907A0" w:rsidRDefault="002907A0" w:rsidP="000F73F3">
      <w:pPr>
        <w:spacing w:after="0" w:line="240" w:lineRule="auto"/>
      </w:pPr>
      <w:r>
        <w:separator/>
      </w:r>
    </w:p>
  </w:footnote>
  <w:footnote w:type="continuationSeparator" w:id="0">
    <w:p w14:paraId="589F928E" w14:textId="77777777" w:rsidR="002907A0" w:rsidRDefault="002907A0" w:rsidP="000F73F3">
      <w:pPr>
        <w:spacing w:after="0" w:line="240" w:lineRule="auto"/>
      </w:pPr>
      <w:r>
        <w:continuationSeparator/>
      </w:r>
    </w:p>
  </w:footnote>
  <w:footnote w:id="1">
    <w:p w14:paraId="30586F7F" w14:textId="77777777" w:rsidR="009C4D1F" w:rsidRPr="008728E3" w:rsidRDefault="009C4D1F" w:rsidP="008728E3">
      <w:pPr>
        <w:pStyle w:val="FootnoteText"/>
        <w:jc w:val="both"/>
        <w:rPr>
          <w:rFonts w:ascii="Arial" w:hAnsi="Arial" w:cs="Arial"/>
        </w:rPr>
      </w:pPr>
      <w:r w:rsidRPr="008728E3">
        <w:rPr>
          <w:rStyle w:val="FootnoteReference"/>
          <w:rFonts w:ascii="Arial" w:hAnsi="Arial" w:cs="Arial"/>
        </w:rPr>
        <w:footnoteRef/>
      </w:r>
      <w:r w:rsidRPr="008728E3">
        <w:rPr>
          <w:rFonts w:ascii="Arial" w:hAnsi="Arial" w:cs="Arial"/>
        </w:rPr>
        <w:t xml:space="preserve"> European Commission – Directorate General for Health and Food Safety, Request to provide a scientific and technical assistance on a horizon scanning exercise in view to crisis preparedness on plant health for the EU territory (M-2017-0012, EFSA-Q-2017-00037)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4A50E2" w:rsidRPr="006B798C" w14:paraId="1ADBFA35" w14:textId="77777777" w:rsidTr="004A50E2">
      <w:tc>
        <w:tcPr>
          <w:tcW w:w="6696" w:type="dxa"/>
          <w:shd w:val="clear" w:color="auto" w:fill="auto"/>
        </w:tcPr>
        <w:p w14:paraId="02AA188F" w14:textId="05891E46" w:rsidR="004A50E2" w:rsidRPr="006B798C" w:rsidRDefault="004A50E2" w:rsidP="006B798C">
          <w:pPr>
            <w:pStyle w:val="Header"/>
            <w:jc w:val="right"/>
            <w:rPr>
              <w:rFonts w:ascii="Arial" w:hAnsi="Arial" w:cs="Arial"/>
              <w:sz w:val="18"/>
            </w:rPr>
          </w:pPr>
          <w:r w:rsidRPr="006B798C">
            <w:rPr>
              <w:rFonts w:ascii="Arial" w:hAnsi="Arial" w:cs="Arial"/>
              <w:noProof/>
              <w:sz w:val="18"/>
              <w:lang w:val="de-DE" w:eastAsia="de-DE"/>
            </w:rPr>
            <w:drawing>
              <wp:inline distT="0" distB="0" distL="0" distR="0" wp14:anchorId="785B1E05" wp14:editId="54669144">
                <wp:extent cx="4114800" cy="8477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847725"/>
                        </a:xfrm>
                        <a:prstGeom prst="rect">
                          <a:avLst/>
                        </a:prstGeom>
                      </pic:spPr>
                    </pic:pic>
                  </a:graphicData>
                </a:graphic>
              </wp:inline>
            </w:drawing>
          </w:r>
        </w:p>
      </w:tc>
    </w:tr>
  </w:tbl>
  <w:p w14:paraId="5DFFCAD5" w14:textId="77777777" w:rsidR="00075D1D" w:rsidRPr="006B798C" w:rsidRDefault="00075D1D" w:rsidP="006B798C">
    <w:pPr>
      <w:pStyle w:val="Header"/>
      <w:jc w:val="right"/>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tblGrid>
    <w:tr w:rsidR="004A50E2" w:rsidRPr="006B798C" w14:paraId="4803610E" w14:textId="77777777" w:rsidTr="004A50E2">
      <w:tc>
        <w:tcPr>
          <w:tcW w:w="6696" w:type="dxa"/>
          <w:shd w:val="clear" w:color="auto" w:fill="auto"/>
        </w:tcPr>
        <w:p w14:paraId="1EF635AB" w14:textId="10BCFE0A" w:rsidR="004A50E2" w:rsidRPr="006B798C" w:rsidRDefault="004A50E2" w:rsidP="006B798C">
          <w:pPr>
            <w:pStyle w:val="Header"/>
            <w:jc w:val="right"/>
            <w:rPr>
              <w:rFonts w:ascii="Arial" w:hAnsi="Arial" w:cs="Arial"/>
              <w:sz w:val="18"/>
            </w:rPr>
          </w:pPr>
          <w:r w:rsidRPr="006B798C">
            <w:rPr>
              <w:rFonts w:ascii="Arial" w:hAnsi="Arial" w:cs="Arial"/>
              <w:noProof/>
              <w:sz w:val="18"/>
              <w:lang w:val="de-DE" w:eastAsia="de-DE"/>
            </w:rPr>
            <w:drawing>
              <wp:inline distT="0" distB="0" distL="0" distR="0" wp14:anchorId="3D6A7BE2" wp14:editId="53FB10A6">
                <wp:extent cx="4114800" cy="16859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1685925"/>
                        </a:xfrm>
                        <a:prstGeom prst="rect">
                          <a:avLst/>
                        </a:prstGeom>
                      </pic:spPr>
                    </pic:pic>
                  </a:graphicData>
                </a:graphic>
              </wp:inline>
            </w:drawing>
          </w:r>
        </w:p>
      </w:tc>
    </w:tr>
  </w:tbl>
  <w:p w14:paraId="3706DB62" w14:textId="77777777" w:rsidR="00075D1D" w:rsidRPr="006B798C" w:rsidRDefault="00075D1D" w:rsidP="006B798C">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4700"/>
    <w:multiLevelType w:val="hybridMultilevel"/>
    <w:tmpl w:val="6C3800F2"/>
    <w:lvl w:ilvl="0" w:tplc="9FF60A32">
      <w:start w:val="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36182"/>
    <w:multiLevelType w:val="hybridMultilevel"/>
    <w:tmpl w:val="F21472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C55B66"/>
    <w:multiLevelType w:val="hybridMultilevel"/>
    <w:tmpl w:val="30C8E4A2"/>
    <w:lvl w:ilvl="0" w:tplc="7522FCA0">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53C7D99"/>
    <w:multiLevelType w:val="hybridMultilevel"/>
    <w:tmpl w:val="FC24AE1C"/>
    <w:lvl w:ilvl="0" w:tplc="152E01F8">
      <w:start w:val="1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ED7FF2"/>
    <w:multiLevelType w:val="hybridMultilevel"/>
    <w:tmpl w:val="712E66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BF"/>
    <w:rsid w:val="0001233A"/>
    <w:rsid w:val="00012525"/>
    <w:rsid w:val="00012CAF"/>
    <w:rsid w:val="000170B1"/>
    <w:rsid w:val="000254E4"/>
    <w:rsid w:val="00027F3F"/>
    <w:rsid w:val="00060BB9"/>
    <w:rsid w:val="000670AE"/>
    <w:rsid w:val="00073918"/>
    <w:rsid w:val="00075D1D"/>
    <w:rsid w:val="00091A38"/>
    <w:rsid w:val="000A196B"/>
    <w:rsid w:val="000C3E59"/>
    <w:rsid w:val="000D5B66"/>
    <w:rsid w:val="000D6205"/>
    <w:rsid w:val="000D69E1"/>
    <w:rsid w:val="000D7728"/>
    <w:rsid w:val="000E46C3"/>
    <w:rsid w:val="000F73F3"/>
    <w:rsid w:val="00141602"/>
    <w:rsid w:val="00143A84"/>
    <w:rsid w:val="00161CE1"/>
    <w:rsid w:val="001658C8"/>
    <w:rsid w:val="00166F13"/>
    <w:rsid w:val="00184246"/>
    <w:rsid w:val="00185749"/>
    <w:rsid w:val="001927A3"/>
    <w:rsid w:val="0019428D"/>
    <w:rsid w:val="001A51B5"/>
    <w:rsid w:val="001D0FB6"/>
    <w:rsid w:val="001E2223"/>
    <w:rsid w:val="001F6FD4"/>
    <w:rsid w:val="0021641D"/>
    <w:rsid w:val="0022297C"/>
    <w:rsid w:val="002361F9"/>
    <w:rsid w:val="00267F78"/>
    <w:rsid w:val="00285CBA"/>
    <w:rsid w:val="002907A0"/>
    <w:rsid w:val="002909F1"/>
    <w:rsid w:val="002A20FF"/>
    <w:rsid w:val="002B3C75"/>
    <w:rsid w:val="002B5B4E"/>
    <w:rsid w:val="002D6176"/>
    <w:rsid w:val="002F1ECB"/>
    <w:rsid w:val="003023B2"/>
    <w:rsid w:val="00352ACC"/>
    <w:rsid w:val="00354AD3"/>
    <w:rsid w:val="00360DF2"/>
    <w:rsid w:val="0037772B"/>
    <w:rsid w:val="00391F8E"/>
    <w:rsid w:val="003A68DB"/>
    <w:rsid w:val="003B33C2"/>
    <w:rsid w:val="003C709C"/>
    <w:rsid w:val="003E251E"/>
    <w:rsid w:val="003F75CA"/>
    <w:rsid w:val="00403E24"/>
    <w:rsid w:val="00426B47"/>
    <w:rsid w:val="00441133"/>
    <w:rsid w:val="004521C5"/>
    <w:rsid w:val="00467CCC"/>
    <w:rsid w:val="00472E4C"/>
    <w:rsid w:val="00490D34"/>
    <w:rsid w:val="004A50E2"/>
    <w:rsid w:val="004C0FE9"/>
    <w:rsid w:val="004C279A"/>
    <w:rsid w:val="005028EC"/>
    <w:rsid w:val="00507B5D"/>
    <w:rsid w:val="00527C98"/>
    <w:rsid w:val="0054030E"/>
    <w:rsid w:val="005722B6"/>
    <w:rsid w:val="00573FFF"/>
    <w:rsid w:val="005852F6"/>
    <w:rsid w:val="005B4C99"/>
    <w:rsid w:val="005B6E1D"/>
    <w:rsid w:val="005B7BAF"/>
    <w:rsid w:val="005B7F55"/>
    <w:rsid w:val="005C7558"/>
    <w:rsid w:val="005D2F9E"/>
    <w:rsid w:val="005D6948"/>
    <w:rsid w:val="00605685"/>
    <w:rsid w:val="006162BA"/>
    <w:rsid w:val="006175F6"/>
    <w:rsid w:val="00620D36"/>
    <w:rsid w:val="00634D49"/>
    <w:rsid w:val="00637876"/>
    <w:rsid w:val="00641B97"/>
    <w:rsid w:val="00642611"/>
    <w:rsid w:val="00644834"/>
    <w:rsid w:val="0068023E"/>
    <w:rsid w:val="0068727C"/>
    <w:rsid w:val="006A3567"/>
    <w:rsid w:val="006B1B16"/>
    <w:rsid w:val="006B798C"/>
    <w:rsid w:val="006C33EF"/>
    <w:rsid w:val="006C4CAB"/>
    <w:rsid w:val="006D5A32"/>
    <w:rsid w:val="006F4485"/>
    <w:rsid w:val="007008F2"/>
    <w:rsid w:val="007521F5"/>
    <w:rsid w:val="00757AD7"/>
    <w:rsid w:val="00760FDA"/>
    <w:rsid w:val="00784061"/>
    <w:rsid w:val="00785A01"/>
    <w:rsid w:val="007A0266"/>
    <w:rsid w:val="007A1B86"/>
    <w:rsid w:val="007A1E3B"/>
    <w:rsid w:val="007B049E"/>
    <w:rsid w:val="007B37FF"/>
    <w:rsid w:val="007C3543"/>
    <w:rsid w:val="007E4B60"/>
    <w:rsid w:val="0082109E"/>
    <w:rsid w:val="00846427"/>
    <w:rsid w:val="00854379"/>
    <w:rsid w:val="008728E3"/>
    <w:rsid w:val="0088321C"/>
    <w:rsid w:val="00893546"/>
    <w:rsid w:val="008A15E2"/>
    <w:rsid w:val="008C6A58"/>
    <w:rsid w:val="008C7714"/>
    <w:rsid w:val="008E5296"/>
    <w:rsid w:val="008F2D50"/>
    <w:rsid w:val="00901560"/>
    <w:rsid w:val="00907505"/>
    <w:rsid w:val="00915A81"/>
    <w:rsid w:val="00937FBD"/>
    <w:rsid w:val="009558BC"/>
    <w:rsid w:val="00962C67"/>
    <w:rsid w:val="00970C8E"/>
    <w:rsid w:val="00977C11"/>
    <w:rsid w:val="009A25FC"/>
    <w:rsid w:val="009A39BD"/>
    <w:rsid w:val="009B257F"/>
    <w:rsid w:val="009B6DCB"/>
    <w:rsid w:val="009C4D1F"/>
    <w:rsid w:val="009D7B3E"/>
    <w:rsid w:val="009E22AB"/>
    <w:rsid w:val="00A04296"/>
    <w:rsid w:val="00A24714"/>
    <w:rsid w:val="00A26CF3"/>
    <w:rsid w:val="00A72076"/>
    <w:rsid w:val="00A9171A"/>
    <w:rsid w:val="00AA2F12"/>
    <w:rsid w:val="00AB0C0C"/>
    <w:rsid w:val="00AC4B1C"/>
    <w:rsid w:val="00AE5E0B"/>
    <w:rsid w:val="00AE6E1A"/>
    <w:rsid w:val="00AF2C3E"/>
    <w:rsid w:val="00AF5688"/>
    <w:rsid w:val="00B135F0"/>
    <w:rsid w:val="00B32AD7"/>
    <w:rsid w:val="00B42137"/>
    <w:rsid w:val="00B574DF"/>
    <w:rsid w:val="00B93214"/>
    <w:rsid w:val="00BB7DD8"/>
    <w:rsid w:val="00BE6523"/>
    <w:rsid w:val="00BF08D3"/>
    <w:rsid w:val="00C0658C"/>
    <w:rsid w:val="00C348FB"/>
    <w:rsid w:val="00C350F3"/>
    <w:rsid w:val="00C35D25"/>
    <w:rsid w:val="00C46F5D"/>
    <w:rsid w:val="00C565D0"/>
    <w:rsid w:val="00C854D3"/>
    <w:rsid w:val="00C97003"/>
    <w:rsid w:val="00CA03BA"/>
    <w:rsid w:val="00CA084D"/>
    <w:rsid w:val="00CE600E"/>
    <w:rsid w:val="00D34CB9"/>
    <w:rsid w:val="00D41F72"/>
    <w:rsid w:val="00D57AB4"/>
    <w:rsid w:val="00D837FF"/>
    <w:rsid w:val="00D84480"/>
    <w:rsid w:val="00D84C03"/>
    <w:rsid w:val="00DA0778"/>
    <w:rsid w:val="00DA12D4"/>
    <w:rsid w:val="00DA18C8"/>
    <w:rsid w:val="00DB2ADE"/>
    <w:rsid w:val="00DB3A9A"/>
    <w:rsid w:val="00DD0B59"/>
    <w:rsid w:val="00E04424"/>
    <w:rsid w:val="00E122D7"/>
    <w:rsid w:val="00E1279A"/>
    <w:rsid w:val="00E21F9B"/>
    <w:rsid w:val="00E244F1"/>
    <w:rsid w:val="00E363D0"/>
    <w:rsid w:val="00E540AC"/>
    <w:rsid w:val="00E75B8F"/>
    <w:rsid w:val="00E8074D"/>
    <w:rsid w:val="00E832D3"/>
    <w:rsid w:val="00E871E0"/>
    <w:rsid w:val="00EB3AC6"/>
    <w:rsid w:val="00EC164A"/>
    <w:rsid w:val="00EC49FF"/>
    <w:rsid w:val="00EE406B"/>
    <w:rsid w:val="00F41ABF"/>
    <w:rsid w:val="00F563D7"/>
    <w:rsid w:val="00F60F23"/>
    <w:rsid w:val="00F7178A"/>
    <w:rsid w:val="00F75430"/>
    <w:rsid w:val="00F77E63"/>
    <w:rsid w:val="00F85744"/>
    <w:rsid w:val="00F87D7A"/>
    <w:rsid w:val="00FA15D8"/>
    <w:rsid w:val="00FA3FF9"/>
    <w:rsid w:val="00FB3798"/>
    <w:rsid w:val="00FC16CB"/>
    <w:rsid w:val="00FC7C76"/>
    <w:rsid w:val="00FD35F5"/>
    <w:rsid w:val="00FEFFEA"/>
    <w:rsid w:val="00FF6D5F"/>
    <w:rsid w:val="0155C221"/>
    <w:rsid w:val="01EBCE54"/>
    <w:rsid w:val="030DB1E1"/>
    <w:rsid w:val="03A64031"/>
    <w:rsid w:val="043411E3"/>
    <w:rsid w:val="04512558"/>
    <w:rsid w:val="051057AC"/>
    <w:rsid w:val="0A4A071B"/>
    <w:rsid w:val="0AA013A5"/>
    <w:rsid w:val="0C10A4AD"/>
    <w:rsid w:val="0D880FFB"/>
    <w:rsid w:val="0E10A534"/>
    <w:rsid w:val="0F434DC7"/>
    <w:rsid w:val="1325B4F3"/>
    <w:rsid w:val="140DCD24"/>
    <w:rsid w:val="15B058AC"/>
    <w:rsid w:val="17B7906C"/>
    <w:rsid w:val="19005517"/>
    <w:rsid w:val="19091CB6"/>
    <w:rsid w:val="1953AAFF"/>
    <w:rsid w:val="1F18E887"/>
    <w:rsid w:val="1F425D72"/>
    <w:rsid w:val="24775328"/>
    <w:rsid w:val="267862C2"/>
    <w:rsid w:val="27174D3F"/>
    <w:rsid w:val="2806546C"/>
    <w:rsid w:val="28CE6B60"/>
    <w:rsid w:val="28DDBF9B"/>
    <w:rsid w:val="2AB50712"/>
    <w:rsid w:val="2AFBFFD5"/>
    <w:rsid w:val="2DA16B17"/>
    <w:rsid w:val="2F213785"/>
    <w:rsid w:val="312F46B6"/>
    <w:rsid w:val="321D1B63"/>
    <w:rsid w:val="363F66DD"/>
    <w:rsid w:val="3667B0C3"/>
    <w:rsid w:val="36C07015"/>
    <w:rsid w:val="374606B2"/>
    <w:rsid w:val="39250D0A"/>
    <w:rsid w:val="39E5204F"/>
    <w:rsid w:val="39FB3147"/>
    <w:rsid w:val="3A8E036F"/>
    <w:rsid w:val="3AC046B7"/>
    <w:rsid w:val="3B14D486"/>
    <w:rsid w:val="3B4F3858"/>
    <w:rsid w:val="3D425AA1"/>
    <w:rsid w:val="3D972074"/>
    <w:rsid w:val="412D0BD3"/>
    <w:rsid w:val="42D7B1EB"/>
    <w:rsid w:val="42DEB52A"/>
    <w:rsid w:val="475C3D27"/>
    <w:rsid w:val="4A44ADA2"/>
    <w:rsid w:val="4C74309F"/>
    <w:rsid w:val="4DF62DE4"/>
    <w:rsid w:val="4E3EF097"/>
    <w:rsid w:val="507A34FA"/>
    <w:rsid w:val="55DBD844"/>
    <w:rsid w:val="5701643F"/>
    <w:rsid w:val="5756ED39"/>
    <w:rsid w:val="582C9188"/>
    <w:rsid w:val="58797BE6"/>
    <w:rsid w:val="5A02FAFC"/>
    <w:rsid w:val="5A963316"/>
    <w:rsid w:val="5B51936D"/>
    <w:rsid w:val="5C361B0B"/>
    <w:rsid w:val="5D254BA8"/>
    <w:rsid w:val="5DBE6C53"/>
    <w:rsid w:val="5E6D1BD4"/>
    <w:rsid w:val="5F54DBFF"/>
    <w:rsid w:val="6031FDF1"/>
    <w:rsid w:val="60ED6FD0"/>
    <w:rsid w:val="616328D6"/>
    <w:rsid w:val="62C0FA5A"/>
    <w:rsid w:val="650DC090"/>
    <w:rsid w:val="65410EA2"/>
    <w:rsid w:val="660A0408"/>
    <w:rsid w:val="67B59F26"/>
    <w:rsid w:val="6A38F0F1"/>
    <w:rsid w:val="6AF73663"/>
    <w:rsid w:val="6B568113"/>
    <w:rsid w:val="6C24FC6D"/>
    <w:rsid w:val="6C2BFAB1"/>
    <w:rsid w:val="6E80F660"/>
    <w:rsid w:val="70C04A8A"/>
    <w:rsid w:val="7363E15B"/>
    <w:rsid w:val="761A5E11"/>
    <w:rsid w:val="76E3ECC1"/>
    <w:rsid w:val="78366047"/>
    <w:rsid w:val="7CAB2328"/>
    <w:rsid w:val="7E7A8B5B"/>
    <w:rsid w:val="7F35F417"/>
    <w:rsid w:val="7F57D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4A71"/>
  <w15:docId w15:val="{5113F1A2-CFF1-4356-9951-1982EB0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9E"/>
    <w:pPr>
      <w:ind w:left="720"/>
      <w:contextualSpacing/>
    </w:pPr>
  </w:style>
  <w:style w:type="paragraph" w:styleId="BalloonText">
    <w:name w:val="Balloon Text"/>
    <w:basedOn w:val="Normal"/>
    <w:link w:val="BalloonTextChar"/>
    <w:uiPriority w:val="99"/>
    <w:semiHidden/>
    <w:unhideWhenUsed/>
    <w:rsid w:val="000D7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28"/>
    <w:rPr>
      <w:rFonts w:ascii="Segoe UI" w:hAnsi="Segoe UI" w:cs="Segoe UI"/>
      <w:sz w:val="18"/>
      <w:szCs w:val="18"/>
    </w:rPr>
  </w:style>
  <w:style w:type="character" w:styleId="CommentReference">
    <w:name w:val="annotation reference"/>
    <w:basedOn w:val="DefaultParagraphFont"/>
    <w:uiPriority w:val="99"/>
    <w:semiHidden/>
    <w:unhideWhenUsed/>
    <w:rsid w:val="00937FBD"/>
    <w:rPr>
      <w:sz w:val="16"/>
      <w:szCs w:val="16"/>
    </w:rPr>
  </w:style>
  <w:style w:type="paragraph" w:styleId="CommentText">
    <w:name w:val="annotation text"/>
    <w:basedOn w:val="Normal"/>
    <w:link w:val="CommentTextChar"/>
    <w:uiPriority w:val="99"/>
    <w:unhideWhenUsed/>
    <w:rsid w:val="00937FBD"/>
    <w:pPr>
      <w:spacing w:line="240" w:lineRule="auto"/>
    </w:pPr>
    <w:rPr>
      <w:sz w:val="20"/>
      <w:szCs w:val="20"/>
    </w:rPr>
  </w:style>
  <w:style w:type="character" w:customStyle="1" w:styleId="CommentTextChar">
    <w:name w:val="Comment Text Char"/>
    <w:basedOn w:val="DefaultParagraphFont"/>
    <w:link w:val="CommentText"/>
    <w:uiPriority w:val="99"/>
    <w:rsid w:val="00937FBD"/>
    <w:rPr>
      <w:sz w:val="20"/>
      <w:szCs w:val="20"/>
    </w:rPr>
  </w:style>
  <w:style w:type="paragraph" w:styleId="CommentSubject">
    <w:name w:val="annotation subject"/>
    <w:basedOn w:val="CommentText"/>
    <w:next w:val="CommentText"/>
    <w:link w:val="CommentSubjectChar"/>
    <w:uiPriority w:val="99"/>
    <w:semiHidden/>
    <w:unhideWhenUsed/>
    <w:rsid w:val="00937FBD"/>
    <w:rPr>
      <w:b/>
      <w:bCs/>
    </w:rPr>
  </w:style>
  <w:style w:type="character" w:customStyle="1" w:styleId="CommentSubjectChar">
    <w:name w:val="Comment Subject Char"/>
    <w:basedOn w:val="CommentTextChar"/>
    <w:link w:val="CommentSubject"/>
    <w:uiPriority w:val="99"/>
    <w:semiHidden/>
    <w:rsid w:val="00937FBD"/>
    <w:rPr>
      <w:b/>
      <w:bCs/>
      <w:sz w:val="20"/>
      <w:szCs w:val="20"/>
    </w:rPr>
  </w:style>
  <w:style w:type="paragraph" w:styleId="Header">
    <w:name w:val="header"/>
    <w:basedOn w:val="Normal"/>
    <w:link w:val="HeaderChar"/>
    <w:uiPriority w:val="99"/>
    <w:unhideWhenUsed/>
    <w:rsid w:val="000F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F3"/>
  </w:style>
  <w:style w:type="paragraph" w:styleId="Footer">
    <w:name w:val="footer"/>
    <w:basedOn w:val="Normal"/>
    <w:link w:val="FooterChar"/>
    <w:uiPriority w:val="99"/>
    <w:unhideWhenUsed/>
    <w:rsid w:val="000F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F3"/>
  </w:style>
  <w:style w:type="character" w:styleId="Hyperlink">
    <w:name w:val="Hyperlink"/>
    <w:basedOn w:val="DefaultParagraphFont"/>
    <w:uiPriority w:val="99"/>
    <w:unhideWhenUsed/>
    <w:rsid w:val="00644834"/>
    <w:rPr>
      <w:color w:val="0563C1" w:themeColor="hyperlink"/>
      <w:u w:val="single"/>
    </w:rPr>
  </w:style>
  <w:style w:type="character" w:customStyle="1" w:styleId="UnresolvedMention1">
    <w:name w:val="Unresolved Mention1"/>
    <w:basedOn w:val="DefaultParagraphFont"/>
    <w:uiPriority w:val="99"/>
    <w:semiHidden/>
    <w:unhideWhenUsed/>
    <w:rsid w:val="00644834"/>
    <w:rPr>
      <w:color w:val="605E5C"/>
      <w:shd w:val="clear" w:color="auto" w:fill="E1DFDD"/>
    </w:rPr>
  </w:style>
  <w:style w:type="paragraph" w:styleId="FootnoteText">
    <w:name w:val="footnote text"/>
    <w:basedOn w:val="Normal"/>
    <w:link w:val="FootnoteTextChar"/>
    <w:uiPriority w:val="99"/>
    <w:semiHidden/>
    <w:unhideWhenUsed/>
    <w:rsid w:val="006448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834"/>
    <w:rPr>
      <w:sz w:val="20"/>
      <w:szCs w:val="20"/>
    </w:rPr>
  </w:style>
  <w:style w:type="character" w:styleId="FootnoteReference">
    <w:name w:val="footnote reference"/>
    <w:basedOn w:val="DefaultParagraphFont"/>
    <w:uiPriority w:val="99"/>
    <w:semiHidden/>
    <w:unhideWhenUsed/>
    <w:rsid w:val="00644834"/>
    <w:rPr>
      <w:vertAlign w:val="superscript"/>
    </w:rPr>
  </w:style>
  <w:style w:type="table" w:styleId="TableGrid">
    <w:name w:val="Table Grid"/>
    <w:basedOn w:val="TableNormal"/>
    <w:uiPriority w:val="39"/>
    <w:rsid w:val="0007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521F5"/>
    <w:rPr>
      <w:color w:val="605E5C"/>
      <w:shd w:val="clear" w:color="auto" w:fill="E1DFDD"/>
    </w:rPr>
  </w:style>
  <w:style w:type="character" w:styleId="FollowedHyperlink">
    <w:name w:val="FollowedHyperlink"/>
    <w:basedOn w:val="DefaultParagraphFont"/>
    <w:uiPriority w:val="99"/>
    <w:semiHidden/>
    <w:unhideWhenUsed/>
    <w:rsid w:val="00452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9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eli/reg/2017/1164/oj"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fsa.onlinelibrary.wiley.com/doi/epdf/10.2903/sp.efsa.2020.EN-193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lex.europa.eu/eli/reg/2019/1582/o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PDF/?uri=CELEX:32019R1702&amp;from=EN" TargetMode="External"/><Relationship Id="rId5" Type="http://schemas.openxmlformats.org/officeDocument/2006/relationships/numbering" Target="numbering.xml"/><Relationship Id="rId15" Type="http://schemas.openxmlformats.org/officeDocument/2006/relationships/hyperlink" Target="https://eur-lex.europa.eu/eli/reg/2020/192/oj"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eli/reg/2017/1164/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D23EFD1C9EE46AD14F21A47D1CFA5" ma:contentTypeVersion="4" ma:contentTypeDescription="Create a new document." ma:contentTypeScope="" ma:versionID="b8115bf198993c2820be53e1fbc2f013">
  <xsd:schema xmlns:xsd="http://www.w3.org/2001/XMLSchema" xmlns:xs="http://www.w3.org/2001/XMLSchema" xmlns:p="http://schemas.microsoft.com/office/2006/metadata/properties" xmlns:ns2="4d544eac-6b14-4fb0-9795-9643ec956ba6" targetNamespace="http://schemas.microsoft.com/office/2006/metadata/properties" ma:root="true" ma:fieldsID="cba9c95891ad9376560657a3e9920172" ns2:_="">
    <xsd:import namespace="4d544eac-6b14-4fb0-9795-9643ec956b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44eac-6b14-4fb0-9795-9643ec956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6AF5A-F7E7-49A0-8820-FE12806E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44eac-6b14-4fb0-9795-9643ec956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C6C70-B610-41EB-85C7-47CADA99E7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FE8339-D28E-437F-819F-53E265F129BD}">
  <ds:schemaRefs>
    <ds:schemaRef ds:uri="http://schemas.openxmlformats.org/officeDocument/2006/bibliography"/>
  </ds:schemaRefs>
</ds:datastoreItem>
</file>

<file path=customXml/itemProps4.xml><?xml version="1.0" encoding="utf-8"?>
<ds:datastoreItem xmlns:ds="http://schemas.openxmlformats.org/officeDocument/2006/customXml" ds:itemID="{4AF423F6-EB2E-4E36-AA4D-844094AF7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2285</Words>
  <Characters>13025</Characters>
  <Application>Microsoft Office Word</Application>
  <DocSecurity>0</DocSecurity>
  <Lines>108</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FoodDrinkEurope</dc:creator>
  <cp:keywords/>
  <dc:description/>
  <cp:lastModifiedBy>Rebeca Fernandez</cp:lastModifiedBy>
  <cp:revision>5</cp:revision>
  <cp:lastPrinted>2021-07-03T14:57:00Z</cp:lastPrinted>
  <dcterms:created xsi:type="dcterms:W3CDTF">2021-07-15T15:35:00Z</dcterms:created>
  <dcterms:modified xsi:type="dcterms:W3CDTF">2021-07-15T15:37:00Z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02bf62-88e6-456d-b298-e2abb13de1ea_Enabled">
    <vt:lpwstr>True</vt:lpwstr>
  </property>
  <property fmtid="{D5CDD505-2E9C-101B-9397-08002B2CF9AE}" pid="3" name="MSIP_Label_0702bf62-88e6-456d-b298-e2abb13de1ea_SiteId">
    <vt:lpwstr>548d26ab-8caa-49e1-97c2-a1b1a06cc39c</vt:lpwstr>
  </property>
  <property fmtid="{D5CDD505-2E9C-101B-9397-08002B2CF9AE}" pid="4" name="MSIP_Label_0702bf62-88e6-456d-b298-e2abb13de1ea_Owner">
    <vt:lpwstr>sronsmans@coca-cola.com</vt:lpwstr>
  </property>
  <property fmtid="{D5CDD505-2E9C-101B-9397-08002B2CF9AE}" pid="5" name="MSIP_Label_0702bf62-88e6-456d-b298-e2abb13de1ea_SetDate">
    <vt:lpwstr>2020-09-22T15:04:56.7943163Z</vt:lpwstr>
  </property>
  <property fmtid="{D5CDD505-2E9C-101B-9397-08002B2CF9AE}" pid="6" name="MSIP_Label_0702bf62-88e6-456d-b298-e2abb13de1ea_Name">
    <vt:lpwstr>Confidential (not protected)</vt:lpwstr>
  </property>
  <property fmtid="{D5CDD505-2E9C-101B-9397-08002B2CF9AE}" pid="7" name="MSIP_Label_0702bf62-88e6-456d-b298-e2abb13de1ea_Application">
    <vt:lpwstr>Microsoft Azure Information Protection</vt:lpwstr>
  </property>
  <property fmtid="{D5CDD505-2E9C-101B-9397-08002B2CF9AE}" pid="8" name="MSIP_Label_0702bf62-88e6-456d-b298-e2abb13de1ea_ActionId">
    <vt:lpwstr>0a3c5cc3-25cc-457a-93d7-4f4b4590f68b</vt:lpwstr>
  </property>
  <property fmtid="{D5CDD505-2E9C-101B-9397-08002B2CF9AE}" pid="9" name="MSIP_Label_0702bf62-88e6-456d-b298-e2abb13de1ea_Extended_MSFT_Method">
    <vt:lpwstr>Automatic</vt:lpwstr>
  </property>
  <property fmtid="{D5CDD505-2E9C-101B-9397-08002B2CF9AE}" pid="10" name="Sensitivity">
    <vt:lpwstr>Confidential (not protected)</vt:lpwstr>
  </property>
  <property fmtid="{D5CDD505-2E9C-101B-9397-08002B2CF9AE}" pid="11" name="ContentTypeId">
    <vt:lpwstr>0x0101002CCD23EFD1C9EE46AD14F21A47D1CFA5</vt:lpwstr>
  </property>
</Properties>
</file>