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63AE3" w14:textId="0DC14D9B" w:rsidR="00FE2460" w:rsidRDefault="00CC7D05" w:rsidP="00FE2460">
      <w:pPr>
        <w:spacing w:after="0" w:line="240" w:lineRule="auto"/>
        <w:ind w:left="5760" w:right="-567"/>
        <w:rPr>
          <w:rFonts w:ascii="Times New Roman" w:eastAsia="Times New Roman" w:hAnsi="Times New Roman" w:cs="Times New Roman"/>
          <w:b/>
          <w:sz w:val="24"/>
          <w:szCs w:val="24"/>
          <w:lang w:val="pt-PT" w:eastAsia="en-GB"/>
        </w:rPr>
      </w:pPr>
      <w:bookmarkStart w:id="0" w:name="_GoBack"/>
      <w:bookmarkEnd w:id="0"/>
      <w:r w:rsidRPr="00CC7D05">
        <w:rPr>
          <w:rFonts w:ascii="Times New Roman" w:eastAsia="Times New Roman" w:hAnsi="Times New Roman" w:cs="Times New Roman"/>
          <w:b/>
          <w:sz w:val="24"/>
          <w:szCs w:val="20"/>
          <w:lang w:val="pt-PT"/>
        </w:rPr>
        <w:t xml:space="preserve">Brussels, </w:t>
      </w:r>
      <w:r w:rsidR="002827B5">
        <w:rPr>
          <w:rFonts w:ascii="Times New Roman" w:eastAsia="Times New Roman" w:hAnsi="Times New Roman" w:cs="Times New Roman"/>
          <w:b/>
          <w:sz w:val="24"/>
          <w:szCs w:val="20"/>
          <w:lang w:val="pt-PT"/>
        </w:rPr>
        <w:t>1</w:t>
      </w:r>
      <w:r w:rsidR="00CE7733">
        <w:rPr>
          <w:rFonts w:ascii="Times New Roman" w:eastAsia="Times New Roman" w:hAnsi="Times New Roman" w:cs="Times New Roman"/>
          <w:b/>
          <w:sz w:val="24"/>
          <w:szCs w:val="20"/>
          <w:lang w:val="pt-PT"/>
        </w:rPr>
        <w:t>5</w:t>
      </w:r>
      <w:r w:rsidR="00093F9E">
        <w:rPr>
          <w:rFonts w:ascii="Times New Roman" w:eastAsia="Times New Roman" w:hAnsi="Times New Roman" w:cs="Times New Roman"/>
          <w:b/>
          <w:sz w:val="24"/>
          <w:szCs w:val="20"/>
          <w:lang w:val="pt-PT"/>
        </w:rPr>
        <w:t>/0</w:t>
      </w:r>
      <w:r w:rsidR="002827B5">
        <w:rPr>
          <w:rFonts w:ascii="Times New Roman" w:eastAsia="Times New Roman" w:hAnsi="Times New Roman" w:cs="Times New Roman"/>
          <w:b/>
          <w:sz w:val="24"/>
          <w:szCs w:val="20"/>
          <w:lang w:val="pt-PT"/>
        </w:rPr>
        <w:t>8</w:t>
      </w:r>
      <w:r w:rsidR="00093F9E">
        <w:rPr>
          <w:rFonts w:ascii="Times New Roman" w:eastAsia="Times New Roman" w:hAnsi="Times New Roman" w:cs="Times New Roman"/>
          <w:b/>
          <w:sz w:val="24"/>
          <w:szCs w:val="20"/>
          <w:lang w:val="pt-PT"/>
        </w:rPr>
        <w:t>/2021</w:t>
      </w:r>
      <w:r w:rsidRPr="00CC7D05">
        <w:rPr>
          <w:rFonts w:ascii="Times New Roman" w:eastAsia="Times New Roman" w:hAnsi="Times New Roman" w:cs="Times New Roman"/>
          <w:b/>
          <w:sz w:val="24"/>
          <w:szCs w:val="24"/>
          <w:lang w:val="pt-PT" w:eastAsia="en-GB"/>
        </w:rPr>
        <w:t xml:space="preserve"> </w:t>
      </w:r>
    </w:p>
    <w:p w14:paraId="035543E1" w14:textId="75BA4EB7" w:rsidR="00CC7D05" w:rsidRPr="00CC7D05" w:rsidRDefault="00FE2460" w:rsidP="00FE2460">
      <w:pPr>
        <w:spacing w:after="0" w:line="240" w:lineRule="auto"/>
        <w:ind w:left="5760" w:right="-567"/>
        <w:rPr>
          <w:rFonts w:ascii="Times New Roman" w:eastAsia="Times New Roman" w:hAnsi="Times New Roman" w:cs="Times New Roman"/>
          <w:sz w:val="24"/>
          <w:szCs w:val="20"/>
          <w:lang w:val="pt-PT"/>
        </w:rPr>
      </w:pPr>
      <w:r w:rsidRPr="00FE2460">
        <w:rPr>
          <w:rFonts w:ascii="Times New Roman" w:eastAsia="Times New Roman" w:hAnsi="Times New Roman" w:cs="Times New Roman"/>
          <w:b/>
          <w:sz w:val="24"/>
          <w:szCs w:val="24"/>
          <w:lang w:val="pt-PT" w:eastAsia="en-GB"/>
        </w:rPr>
        <w:t>SANTE/</w:t>
      </w:r>
      <w:r w:rsidRPr="00FE2460">
        <w:t xml:space="preserve"> </w:t>
      </w:r>
      <w:r w:rsidRPr="00FE2460">
        <w:rPr>
          <w:rFonts w:ascii="Times New Roman" w:eastAsia="Times New Roman" w:hAnsi="Times New Roman" w:cs="Times New Roman"/>
          <w:b/>
          <w:sz w:val="24"/>
          <w:szCs w:val="24"/>
          <w:lang w:val="pt-PT" w:eastAsia="en-GB"/>
        </w:rPr>
        <w:t>10704/20</w:t>
      </w:r>
      <w:r>
        <w:rPr>
          <w:rFonts w:ascii="Times New Roman" w:eastAsia="Times New Roman" w:hAnsi="Times New Roman" w:cs="Times New Roman"/>
          <w:b/>
          <w:sz w:val="24"/>
          <w:szCs w:val="24"/>
          <w:lang w:val="pt-PT" w:eastAsia="en-GB"/>
        </w:rPr>
        <w:t>21</w:t>
      </w:r>
      <w:r w:rsidRPr="00FE2460">
        <w:rPr>
          <w:rFonts w:ascii="Times New Roman" w:eastAsia="Times New Roman" w:hAnsi="Times New Roman" w:cs="Times New Roman"/>
          <w:b/>
          <w:sz w:val="24"/>
          <w:szCs w:val="24"/>
          <w:lang w:val="pt-PT" w:eastAsia="en-GB"/>
        </w:rPr>
        <w:t xml:space="preserve"> </w:t>
      </w:r>
      <w:r w:rsidR="00CC7D05" w:rsidRPr="00CC7D05">
        <w:rPr>
          <w:rFonts w:ascii="Times New Roman" w:eastAsia="Times New Roman" w:hAnsi="Times New Roman" w:cs="Times New Roman"/>
          <w:b/>
          <w:sz w:val="24"/>
          <w:szCs w:val="24"/>
          <w:lang w:val="pt-PT" w:eastAsia="en-GB"/>
        </w:rPr>
        <w:t>Rev.</w:t>
      </w:r>
      <w:r w:rsidR="00CC7D05" w:rsidRPr="00CC7D05">
        <w:rPr>
          <w:rFonts w:ascii="Times New Roman" w:eastAsia="Times New Roman" w:hAnsi="Times New Roman" w:cs="Times New Roman"/>
          <w:b/>
          <w:color w:val="FF0000"/>
          <w:sz w:val="24"/>
          <w:szCs w:val="24"/>
          <w:lang w:val="pt-PT" w:eastAsia="en-GB"/>
        </w:rPr>
        <w:t xml:space="preserve"> </w:t>
      </w:r>
      <w:r w:rsidR="002827B5">
        <w:rPr>
          <w:rFonts w:ascii="Times New Roman" w:eastAsia="Times New Roman" w:hAnsi="Times New Roman" w:cs="Times New Roman"/>
          <w:b/>
          <w:color w:val="000000" w:themeColor="text1"/>
          <w:sz w:val="24"/>
          <w:szCs w:val="24"/>
          <w:lang w:val="pt-PT" w:eastAsia="en-GB"/>
        </w:rPr>
        <w:t>5</w:t>
      </w:r>
    </w:p>
    <w:p w14:paraId="73247183" w14:textId="77777777" w:rsidR="009D4FC5" w:rsidRPr="009D4FC5" w:rsidRDefault="009D4FC5" w:rsidP="009D4FC5">
      <w:pPr>
        <w:spacing w:after="0" w:line="240" w:lineRule="auto"/>
        <w:jc w:val="center"/>
        <w:rPr>
          <w:rFonts w:ascii="Arial" w:eastAsia="Times New Roman" w:hAnsi="Arial" w:cs="Arial"/>
          <w:b/>
          <w:sz w:val="32"/>
          <w:szCs w:val="32"/>
          <w:lang w:val="en-GB" w:eastAsia="en-GB"/>
        </w:rPr>
      </w:pPr>
    </w:p>
    <w:p w14:paraId="5823B349" w14:textId="108E5883" w:rsidR="009D4FC5" w:rsidRDefault="009D4FC5" w:rsidP="009D4FC5">
      <w:pPr>
        <w:spacing w:after="0" w:line="240" w:lineRule="auto"/>
        <w:jc w:val="center"/>
        <w:rPr>
          <w:rFonts w:ascii="Arial" w:eastAsia="Times New Roman" w:hAnsi="Arial" w:cs="Arial"/>
          <w:b/>
          <w:sz w:val="32"/>
          <w:szCs w:val="32"/>
          <w:lang w:val="en-GB" w:eastAsia="en-GB"/>
        </w:rPr>
      </w:pPr>
    </w:p>
    <w:p w14:paraId="3FE64C64" w14:textId="640D44F7" w:rsidR="0085035A" w:rsidRDefault="0085035A" w:rsidP="009D4FC5">
      <w:pPr>
        <w:spacing w:after="0" w:line="240" w:lineRule="auto"/>
        <w:jc w:val="center"/>
        <w:rPr>
          <w:rFonts w:ascii="Arial" w:eastAsia="Times New Roman" w:hAnsi="Arial" w:cs="Arial"/>
          <w:b/>
          <w:sz w:val="32"/>
          <w:szCs w:val="32"/>
          <w:lang w:val="en-GB" w:eastAsia="en-GB"/>
        </w:rPr>
      </w:pPr>
    </w:p>
    <w:p w14:paraId="2B01E162" w14:textId="4FF1E8A2" w:rsidR="0085035A" w:rsidRDefault="0085035A" w:rsidP="003C7E4E">
      <w:pPr>
        <w:tabs>
          <w:tab w:val="left" w:pos="1785"/>
        </w:tabs>
        <w:spacing w:after="0" w:line="240" w:lineRule="auto"/>
        <w:rPr>
          <w:rFonts w:ascii="Arial" w:eastAsia="Times New Roman" w:hAnsi="Arial" w:cs="Arial"/>
          <w:b/>
          <w:sz w:val="32"/>
          <w:szCs w:val="32"/>
          <w:lang w:val="en-GB" w:eastAsia="en-GB"/>
        </w:rPr>
      </w:pPr>
    </w:p>
    <w:p w14:paraId="0E766A0B" w14:textId="54A4DB05" w:rsidR="0085035A" w:rsidRDefault="0085035A" w:rsidP="009D4FC5">
      <w:pPr>
        <w:spacing w:after="0" w:line="240" w:lineRule="auto"/>
        <w:jc w:val="center"/>
        <w:rPr>
          <w:rFonts w:ascii="Arial" w:eastAsia="Times New Roman" w:hAnsi="Arial" w:cs="Arial"/>
          <w:b/>
          <w:sz w:val="32"/>
          <w:szCs w:val="32"/>
          <w:lang w:val="en-GB" w:eastAsia="en-GB"/>
        </w:rPr>
      </w:pPr>
    </w:p>
    <w:p w14:paraId="53732E46" w14:textId="7234B476" w:rsidR="0085035A" w:rsidRDefault="0085035A" w:rsidP="009D4FC5">
      <w:pPr>
        <w:spacing w:after="0" w:line="240" w:lineRule="auto"/>
        <w:jc w:val="center"/>
        <w:rPr>
          <w:rFonts w:ascii="Arial" w:eastAsia="Times New Roman" w:hAnsi="Arial" w:cs="Arial"/>
          <w:b/>
          <w:sz w:val="32"/>
          <w:szCs w:val="32"/>
          <w:lang w:val="en-GB" w:eastAsia="en-GB"/>
        </w:rPr>
      </w:pPr>
    </w:p>
    <w:p w14:paraId="6AFC164A" w14:textId="77777777" w:rsidR="0085035A" w:rsidRPr="009D4FC5" w:rsidRDefault="0085035A" w:rsidP="009D4FC5">
      <w:pPr>
        <w:spacing w:after="0" w:line="240" w:lineRule="auto"/>
        <w:jc w:val="center"/>
        <w:rPr>
          <w:rFonts w:ascii="Arial" w:eastAsia="Times New Roman" w:hAnsi="Arial" w:cs="Arial"/>
          <w:b/>
          <w:sz w:val="32"/>
          <w:szCs w:val="32"/>
          <w:lang w:val="en-GB" w:eastAsia="en-GB"/>
        </w:rPr>
      </w:pPr>
    </w:p>
    <w:p w14:paraId="6CA1EBBB" w14:textId="6C5C24D5" w:rsidR="009D4FC5" w:rsidRPr="009D4FC5" w:rsidRDefault="0085035A" w:rsidP="009D4FC5">
      <w:pPr>
        <w:spacing w:after="0" w:line="240" w:lineRule="auto"/>
        <w:jc w:val="center"/>
        <w:rPr>
          <w:rFonts w:ascii="Arial" w:eastAsia="Times New Roman" w:hAnsi="Arial" w:cs="Arial"/>
          <w:b/>
          <w:sz w:val="32"/>
          <w:szCs w:val="32"/>
          <w:lang w:val="en-GB" w:eastAsia="en-GB"/>
        </w:rPr>
      </w:pPr>
      <w:r>
        <w:rPr>
          <w:rFonts w:ascii="Arial" w:eastAsia="Times New Roman" w:hAnsi="Arial" w:cs="Arial"/>
          <w:b/>
          <w:sz w:val="32"/>
          <w:szCs w:val="32"/>
          <w:lang w:val="en-GB" w:eastAsia="en-GB"/>
        </w:rPr>
        <w:t xml:space="preserve">Information note on Article 20 of Regulation </w:t>
      </w:r>
      <w:r w:rsidR="003225C9">
        <w:rPr>
          <w:rFonts w:ascii="Arial" w:eastAsia="Arial" w:hAnsi="Arial" w:cs="Arial"/>
          <w:b/>
          <w:bCs/>
          <w:sz w:val="32"/>
          <w:szCs w:val="32"/>
          <w:lang w:val="en-GB" w:eastAsia="en-GB"/>
        </w:rPr>
        <w:t>(EC) No</w:t>
      </w:r>
      <w:r>
        <w:rPr>
          <w:rFonts w:ascii="Arial" w:eastAsia="Arial" w:hAnsi="Arial" w:cs="Arial"/>
          <w:b/>
          <w:bCs/>
          <w:sz w:val="32"/>
          <w:szCs w:val="32"/>
          <w:lang w:val="en-GB" w:eastAsia="en-GB"/>
        </w:rPr>
        <w:t xml:space="preserve"> 396/2005 as regards processing factors and composite food</w:t>
      </w:r>
      <w:r w:rsidR="00CF14DE">
        <w:rPr>
          <w:rFonts w:ascii="Arial" w:eastAsia="Arial" w:hAnsi="Arial" w:cs="Arial"/>
          <w:b/>
          <w:bCs/>
          <w:sz w:val="32"/>
          <w:szCs w:val="32"/>
          <w:lang w:val="en-GB" w:eastAsia="en-GB"/>
        </w:rPr>
        <w:t xml:space="preserve"> </w:t>
      </w:r>
      <w:r w:rsidR="008407DB">
        <w:rPr>
          <w:rFonts w:ascii="Arial" w:eastAsia="Arial" w:hAnsi="Arial" w:cs="Arial"/>
          <w:b/>
          <w:bCs/>
          <w:sz w:val="32"/>
          <w:szCs w:val="32"/>
          <w:lang w:val="en-GB" w:eastAsia="en-GB"/>
        </w:rPr>
        <w:t xml:space="preserve">and </w:t>
      </w:r>
      <w:r w:rsidR="00CF14DE">
        <w:rPr>
          <w:rFonts w:ascii="Arial" w:eastAsia="Arial" w:hAnsi="Arial" w:cs="Arial"/>
          <w:b/>
          <w:bCs/>
          <w:sz w:val="32"/>
          <w:szCs w:val="32"/>
          <w:lang w:val="en-GB" w:eastAsia="en-GB"/>
        </w:rPr>
        <w:t>feed</w:t>
      </w:r>
      <w:r w:rsidR="009D4FC5" w:rsidRPr="009D4FC5">
        <w:rPr>
          <w:rFonts w:ascii="Arial" w:eastAsia="Times New Roman" w:hAnsi="Arial" w:cs="Arial"/>
          <w:b/>
          <w:sz w:val="32"/>
          <w:szCs w:val="32"/>
          <w:vertAlign w:val="superscript"/>
          <w:lang w:val="en-GB" w:eastAsia="en-GB"/>
        </w:rPr>
        <w:footnoteReference w:id="1"/>
      </w:r>
    </w:p>
    <w:p w14:paraId="1ADD5A93" w14:textId="77777777" w:rsidR="009D4FC5" w:rsidRPr="009D4FC5" w:rsidRDefault="009D4FC5" w:rsidP="009D4FC5">
      <w:pPr>
        <w:spacing w:after="0" w:line="240" w:lineRule="auto"/>
        <w:jc w:val="center"/>
        <w:rPr>
          <w:rFonts w:ascii="Arial" w:eastAsia="Times New Roman" w:hAnsi="Arial" w:cs="Arial"/>
          <w:b/>
          <w:sz w:val="32"/>
          <w:szCs w:val="32"/>
          <w:lang w:val="en-GB" w:eastAsia="en-GB"/>
        </w:rPr>
      </w:pPr>
    </w:p>
    <w:p w14:paraId="2141B173" w14:textId="2AE5985C" w:rsidR="009D4FC5" w:rsidRPr="009D4FC5" w:rsidRDefault="009D4FC5" w:rsidP="0085035A">
      <w:pPr>
        <w:spacing w:after="0" w:line="240" w:lineRule="auto"/>
        <w:rPr>
          <w:rFonts w:ascii="Arial" w:eastAsia="Times New Roman" w:hAnsi="Arial" w:cs="Arial"/>
          <w:b/>
          <w:sz w:val="32"/>
          <w:szCs w:val="32"/>
          <w:lang w:val="en-GB" w:eastAsia="en-GB"/>
        </w:rPr>
      </w:pPr>
    </w:p>
    <w:p w14:paraId="70415427" w14:textId="77777777" w:rsidR="009D4FC5" w:rsidRPr="009D4FC5" w:rsidRDefault="009D4FC5" w:rsidP="009D4FC5">
      <w:pPr>
        <w:spacing w:after="0" w:line="240" w:lineRule="auto"/>
        <w:jc w:val="center"/>
        <w:rPr>
          <w:rFonts w:ascii="Arial" w:eastAsia="Times New Roman" w:hAnsi="Arial" w:cs="Arial"/>
          <w:b/>
          <w:sz w:val="32"/>
          <w:szCs w:val="32"/>
          <w:lang w:val="en-GB" w:eastAsia="en-GB"/>
        </w:rPr>
      </w:pPr>
    </w:p>
    <w:p w14:paraId="15465208" w14:textId="01C05A81" w:rsidR="009D4FC5" w:rsidRPr="003C7E4E" w:rsidRDefault="00810478" w:rsidP="009D4FC5">
      <w:pPr>
        <w:spacing w:after="0" w:line="240" w:lineRule="auto"/>
        <w:jc w:val="center"/>
        <w:rPr>
          <w:lang w:val="en-GB"/>
        </w:rPr>
      </w:pPr>
      <w:r w:rsidRPr="00105757">
        <w:rPr>
          <w:lang w:val="en-GB"/>
        </w:rPr>
        <w:t>Please note that this document focusses mainly on processing factors in a first step. More detailed provisions as regards composite foods</w:t>
      </w:r>
      <w:r w:rsidR="000C39D0" w:rsidRPr="00105757">
        <w:rPr>
          <w:lang w:val="en-GB"/>
        </w:rPr>
        <w:t xml:space="preserve"> (which are covered in principle)</w:t>
      </w:r>
      <w:r w:rsidRPr="00105757">
        <w:rPr>
          <w:lang w:val="en-GB"/>
        </w:rPr>
        <w:t xml:space="preserve"> can be developed at a later stage</w:t>
      </w:r>
      <w:r w:rsidR="000C39D0" w:rsidRPr="00105757">
        <w:rPr>
          <w:lang w:val="en-GB"/>
        </w:rPr>
        <w:t>, if needed</w:t>
      </w:r>
      <w:r w:rsidRPr="00105757">
        <w:rPr>
          <w:lang w:val="en-GB"/>
        </w:rPr>
        <w:t>.</w:t>
      </w:r>
    </w:p>
    <w:p w14:paraId="45C5CC1B" w14:textId="77777777" w:rsidR="009D4FC5" w:rsidRPr="009D4FC5" w:rsidRDefault="009D4FC5" w:rsidP="009D4FC5">
      <w:pPr>
        <w:spacing w:after="0" w:line="240" w:lineRule="auto"/>
        <w:jc w:val="center"/>
        <w:rPr>
          <w:rFonts w:ascii="Arial" w:eastAsia="Times New Roman" w:hAnsi="Arial" w:cs="Arial"/>
          <w:b/>
          <w:sz w:val="32"/>
          <w:szCs w:val="32"/>
          <w:lang w:val="en-GB" w:eastAsia="en-GB"/>
        </w:rPr>
      </w:pPr>
    </w:p>
    <w:p w14:paraId="76276F5D" w14:textId="21E24ED4" w:rsidR="00F93698" w:rsidRPr="00895177" w:rsidRDefault="009D4FC5" w:rsidP="00AF529D">
      <w:pPr>
        <w:pStyle w:val="ListParagraph"/>
        <w:numPr>
          <w:ilvl w:val="0"/>
          <w:numId w:val="6"/>
        </w:numPr>
        <w:spacing w:after="100" w:afterAutospacing="1"/>
        <w:rPr>
          <w:rFonts w:ascii="Times New Roman" w:eastAsia="Times New Roman" w:hAnsi="Times New Roman" w:cs="Times New Roman"/>
          <w:b/>
          <w:caps/>
          <w:sz w:val="24"/>
          <w:szCs w:val="20"/>
          <w:lang w:val="en-IE" w:eastAsia="en-GB"/>
        </w:rPr>
      </w:pPr>
      <w:r>
        <w:rPr>
          <w:lang w:val="en-GB"/>
        </w:rPr>
        <w:br w:type="page"/>
      </w:r>
      <w:bookmarkStart w:id="1" w:name="_Toc42189489"/>
      <w:r w:rsidR="00DD1C37">
        <w:rPr>
          <w:rFonts w:ascii="Times New Roman" w:eastAsia="Times New Roman" w:hAnsi="Times New Roman" w:cs="Times New Roman"/>
          <w:b/>
          <w:caps/>
          <w:sz w:val="24"/>
          <w:szCs w:val="20"/>
          <w:lang w:val="en-IE" w:eastAsia="en-GB"/>
        </w:rPr>
        <w:lastRenderedPageBreak/>
        <w:t>INTRODUCTION</w:t>
      </w:r>
      <w:bookmarkEnd w:id="1"/>
    </w:p>
    <w:p w14:paraId="3F2D5236" w14:textId="0FD5B1F5" w:rsidR="00DD1C37" w:rsidRDefault="00DD1C37" w:rsidP="0038298F">
      <w:pPr>
        <w:jc w:val="both"/>
        <w:rPr>
          <w:lang w:val="en-GB"/>
        </w:rPr>
      </w:pPr>
      <w:r w:rsidRPr="00DD1C37">
        <w:rPr>
          <w:lang w:val="en-GB"/>
        </w:rPr>
        <w:t>The Commission carried out an evaluation</w:t>
      </w:r>
      <w:r w:rsidRPr="00654782">
        <w:rPr>
          <w:rStyle w:val="FootnoteReference"/>
          <w:lang w:val="en-GB"/>
        </w:rPr>
        <w:footnoteReference w:id="2"/>
      </w:r>
      <w:r w:rsidRPr="00DD1C37">
        <w:rPr>
          <w:lang w:val="en-GB"/>
        </w:rPr>
        <w:t xml:space="preserve"> of the plant protection products (PPP)</w:t>
      </w:r>
      <w:r w:rsidR="006A5130">
        <w:rPr>
          <w:rStyle w:val="FootnoteReference"/>
          <w:lang w:val="en-GB"/>
        </w:rPr>
        <w:footnoteReference w:id="3"/>
      </w:r>
      <w:r w:rsidRPr="00DD1C37">
        <w:rPr>
          <w:lang w:val="en-GB"/>
        </w:rPr>
        <w:t xml:space="preserve"> and maximum residue levels (MRL) Regulations</w:t>
      </w:r>
      <w:r w:rsidR="006A5130">
        <w:rPr>
          <w:rStyle w:val="FootnoteReference"/>
          <w:lang w:val="en-GB"/>
        </w:rPr>
        <w:footnoteReference w:id="4"/>
      </w:r>
      <w:r w:rsidRPr="00DD1C37">
        <w:rPr>
          <w:lang w:val="en-GB"/>
        </w:rPr>
        <w:t xml:space="preserve"> covering the period of their respective entry into application until </w:t>
      </w:r>
      <w:r w:rsidR="00D2532A">
        <w:rPr>
          <w:lang w:val="en-GB"/>
        </w:rPr>
        <w:t xml:space="preserve">the </w:t>
      </w:r>
      <w:r w:rsidRPr="00DD1C37">
        <w:rPr>
          <w:lang w:val="en-GB"/>
        </w:rPr>
        <w:t>end</w:t>
      </w:r>
      <w:r w:rsidR="00D2532A">
        <w:rPr>
          <w:lang w:val="en-GB"/>
        </w:rPr>
        <w:t xml:space="preserve"> of</w:t>
      </w:r>
      <w:r w:rsidRPr="00DD1C37">
        <w:rPr>
          <w:lang w:val="en-GB"/>
        </w:rPr>
        <w:t xml:space="preserve"> 2018 as part of its regulatory fitness and performance programme (REFIT). The Commission assessed whether the Regulations are fit for purpose, achieve their objectives while keeping </w:t>
      </w:r>
      <w:r w:rsidR="00DD60BC">
        <w:rPr>
          <w:lang w:val="en-GB"/>
        </w:rPr>
        <w:t xml:space="preserve">the </w:t>
      </w:r>
      <w:r w:rsidRPr="00DD1C37">
        <w:rPr>
          <w:lang w:val="en-GB"/>
        </w:rPr>
        <w:t>E</w:t>
      </w:r>
      <w:r w:rsidR="00DD60BC">
        <w:rPr>
          <w:lang w:val="en-GB"/>
        </w:rPr>
        <w:t xml:space="preserve">uropean </w:t>
      </w:r>
      <w:r w:rsidRPr="00DD1C37">
        <w:rPr>
          <w:lang w:val="en-GB"/>
        </w:rPr>
        <w:t>U</w:t>
      </w:r>
      <w:r w:rsidR="00DD60BC">
        <w:rPr>
          <w:lang w:val="en-GB"/>
        </w:rPr>
        <w:t>nion (EU)</w:t>
      </w:r>
      <w:r w:rsidRPr="00DD1C37">
        <w:rPr>
          <w:lang w:val="en-GB"/>
        </w:rPr>
        <w:t xml:space="preserve"> law simple, and remov</w:t>
      </w:r>
      <w:r w:rsidR="00D2532A">
        <w:rPr>
          <w:lang w:val="en-GB"/>
        </w:rPr>
        <w:t>ing</w:t>
      </w:r>
      <w:r w:rsidRPr="00DD1C37">
        <w:rPr>
          <w:lang w:val="en-GB"/>
        </w:rPr>
        <w:t xml:space="preserve"> unnecessary burdens. One of the findings of the evaluation was that general provisions for processed products are already in place, but those provisions would benefit from clarification. It is therefore necessary to give guidance to all involved parties, in particular the competent authorities in the Member States responsible for enforcement, but also food </w:t>
      </w:r>
      <w:r w:rsidR="00BC7B2F">
        <w:rPr>
          <w:lang w:val="en-GB"/>
        </w:rPr>
        <w:t xml:space="preserve">and feed </w:t>
      </w:r>
      <w:r w:rsidRPr="00DD1C37">
        <w:rPr>
          <w:lang w:val="en-GB"/>
        </w:rPr>
        <w:t>business operators</w:t>
      </w:r>
      <w:r w:rsidR="00DD60BC">
        <w:rPr>
          <w:lang w:val="en-GB"/>
        </w:rPr>
        <w:t xml:space="preserve"> (FBO)</w:t>
      </w:r>
      <w:r w:rsidRPr="00DD1C37">
        <w:rPr>
          <w:lang w:val="en-GB"/>
        </w:rPr>
        <w:t>, on how to deal with processed products. I</w:t>
      </w:r>
    </w:p>
    <w:p w14:paraId="5150AB03" w14:textId="5D89FBCE" w:rsidR="00E84723" w:rsidRDefault="00E84723" w:rsidP="0038298F">
      <w:pPr>
        <w:jc w:val="both"/>
        <w:rPr>
          <w:lang w:val="en-IE"/>
        </w:rPr>
      </w:pPr>
      <w:r w:rsidRPr="00BF3D0F">
        <w:rPr>
          <w:lang w:val="en-IE"/>
        </w:rPr>
        <w:t xml:space="preserve">This document is an evolving document and will be updated to take account of the experience of the competent authorities or </w:t>
      </w:r>
      <w:r>
        <w:rPr>
          <w:lang w:val="en-IE"/>
        </w:rPr>
        <w:t>any new</w:t>
      </w:r>
      <w:r w:rsidR="00806701">
        <w:rPr>
          <w:lang w:val="en-IE"/>
        </w:rPr>
        <w:t xml:space="preserve"> </w:t>
      </w:r>
      <w:r w:rsidRPr="00BF3D0F">
        <w:rPr>
          <w:lang w:val="en-IE"/>
        </w:rPr>
        <w:t>information</w:t>
      </w:r>
      <w:r>
        <w:rPr>
          <w:lang w:val="en-IE"/>
        </w:rPr>
        <w:t xml:space="preserve"> that may become available</w:t>
      </w:r>
      <w:r w:rsidRPr="00BF3D0F">
        <w:rPr>
          <w:lang w:val="en-IE"/>
        </w:rPr>
        <w:t>.</w:t>
      </w:r>
      <w:r w:rsidR="000C39D0">
        <w:rPr>
          <w:lang w:val="en-IE"/>
        </w:rPr>
        <w:t xml:space="preserve"> </w:t>
      </w:r>
      <w:r w:rsidR="000C39D0" w:rsidRPr="006C6ED1">
        <w:rPr>
          <w:lang w:val="en-IE"/>
        </w:rPr>
        <w:t>In a first step</w:t>
      </w:r>
      <w:r w:rsidR="006C6ED1">
        <w:rPr>
          <w:lang w:val="en-IE"/>
        </w:rPr>
        <w:t>,</w:t>
      </w:r>
      <w:r w:rsidR="000C39D0" w:rsidRPr="006C6ED1">
        <w:rPr>
          <w:lang w:val="en-IE"/>
        </w:rPr>
        <w:t xml:space="preserve"> this document mainly focusses on processing factors. More detailed guidance as regards composite foods can be developed at a later stage, if needed.</w:t>
      </w:r>
    </w:p>
    <w:p w14:paraId="1EBD6A6F" w14:textId="5091C577" w:rsidR="00E84723" w:rsidRDefault="00E84723" w:rsidP="0038298F">
      <w:pPr>
        <w:jc w:val="both"/>
        <w:rPr>
          <w:lang w:val="en-IE"/>
        </w:rPr>
      </w:pPr>
      <w:r>
        <w:rPr>
          <w:lang w:val="en-IE"/>
        </w:rPr>
        <w:t>This</w:t>
      </w:r>
      <w:r w:rsidRPr="00BF3D0F">
        <w:t xml:space="preserve"> </w:t>
      </w:r>
      <w:r>
        <w:rPr>
          <w:lang w:val="en-IE"/>
        </w:rPr>
        <w:t>information note has been presented to and noted by the representatives of the Member States during the meeting of the Standing Committee on Plants, Animals, Food and Feed (SCPAFF), section Phytopharmaceuticals – Pesticides Residues of</w:t>
      </w:r>
      <w:r w:rsidR="00806701">
        <w:rPr>
          <w:lang w:val="en-IE"/>
        </w:rPr>
        <w:t xml:space="preserve"> </w:t>
      </w:r>
      <w:r>
        <w:rPr>
          <w:lang w:val="en-IE"/>
        </w:rPr>
        <w:t>23/24 September 2021.</w:t>
      </w:r>
    </w:p>
    <w:p w14:paraId="5F8F89B9" w14:textId="77777777" w:rsidR="00E84723" w:rsidRPr="0038298F" w:rsidRDefault="00E84723" w:rsidP="0038298F">
      <w:pPr>
        <w:rPr>
          <w:lang w:val="en-IE"/>
        </w:rPr>
      </w:pPr>
    </w:p>
    <w:p w14:paraId="321AE0D9" w14:textId="24B0BE96" w:rsidR="00DD1C37" w:rsidRPr="0038298F" w:rsidRDefault="00DD1C37" w:rsidP="0038298F">
      <w:pPr>
        <w:pStyle w:val="ListParagraph"/>
        <w:numPr>
          <w:ilvl w:val="0"/>
          <w:numId w:val="6"/>
        </w:numPr>
        <w:spacing w:after="100" w:afterAutospacing="1"/>
        <w:rPr>
          <w:rFonts w:ascii="Times New Roman" w:eastAsia="Times New Roman" w:hAnsi="Times New Roman" w:cs="Times New Roman"/>
          <w:b/>
          <w:caps/>
          <w:sz w:val="24"/>
          <w:szCs w:val="20"/>
          <w:lang w:val="en-IE" w:eastAsia="en-GB"/>
        </w:rPr>
      </w:pPr>
      <w:r w:rsidRPr="0038298F">
        <w:rPr>
          <w:rFonts w:ascii="Times New Roman" w:eastAsia="Times New Roman" w:hAnsi="Times New Roman" w:cs="Times New Roman"/>
          <w:b/>
          <w:caps/>
          <w:sz w:val="24"/>
          <w:szCs w:val="20"/>
          <w:lang w:val="en-IE" w:eastAsia="en-GB"/>
        </w:rPr>
        <w:t>Objectives of this Information note</w:t>
      </w:r>
    </w:p>
    <w:p w14:paraId="299D3CC3" w14:textId="54CFF2E1" w:rsidR="00A17A66" w:rsidRDefault="00DD1C37" w:rsidP="0038298F">
      <w:pPr>
        <w:jc w:val="both"/>
        <w:rPr>
          <w:lang w:val="en-GB"/>
        </w:rPr>
      </w:pPr>
      <w:r w:rsidRPr="00DD1C37">
        <w:rPr>
          <w:lang w:val="en-GB"/>
        </w:rPr>
        <w:t xml:space="preserve">The aim of this document is not to establish EU harmonised processing factors or to work towards setting of specific </w:t>
      </w:r>
      <w:r w:rsidR="00DD60BC">
        <w:rPr>
          <w:lang w:val="en-GB"/>
        </w:rPr>
        <w:t>maximum residue levels (MRLs)</w:t>
      </w:r>
      <w:r w:rsidRPr="00DD1C37">
        <w:rPr>
          <w:lang w:val="en-GB"/>
        </w:rPr>
        <w:t xml:space="preserve"> for processed products. The intention is to provide guidance to Member States (including Official Control Laboratories) on how to implement Article 20 provisions</w:t>
      </w:r>
      <w:r w:rsidR="003D5320">
        <w:rPr>
          <w:lang w:val="en-GB"/>
        </w:rPr>
        <w:t xml:space="preserve"> of Regulation EC396/2005</w:t>
      </w:r>
      <w:r w:rsidRPr="00DD1C37">
        <w:rPr>
          <w:lang w:val="en-GB"/>
        </w:rPr>
        <w:t xml:space="preserve"> in a harmonised way. This document also ensures predictabi</w:t>
      </w:r>
      <w:r w:rsidR="00DD60BC">
        <w:rPr>
          <w:lang w:val="en-GB"/>
        </w:rPr>
        <w:t xml:space="preserve">lity for FBOs, </w:t>
      </w:r>
      <w:r w:rsidRPr="00DD1C37">
        <w:rPr>
          <w:lang w:val="en-GB"/>
        </w:rPr>
        <w:t>including</w:t>
      </w:r>
      <w:r w:rsidR="00DD60BC">
        <w:rPr>
          <w:lang w:val="en-GB"/>
        </w:rPr>
        <w:t xml:space="preserve"> importers from third countries,</w:t>
      </w:r>
      <w:r w:rsidR="00806701">
        <w:rPr>
          <w:lang w:val="en-GB"/>
        </w:rPr>
        <w:t xml:space="preserve"> </w:t>
      </w:r>
      <w:r w:rsidRPr="00DD1C37">
        <w:rPr>
          <w:lang w:val="en-GB"/>
        </w:rPr>
        <w:t>to prepare themselves and have the necessary information at hand, if national authorities request further documentation during their official controls</w:t>
      </w:r>
      <w:r>
        <w:rPr>
          <w:lang w:val="en-GB"/>
        </w:rPr>
        <w:t xml:space="preserve">. </w:t>
      </w:r>
      <w:r w:rsidRPr="00DD1C37">
        <w:rPr>
          <w:lang w:val="en-GB"/>
        </w:rPr>
        <w:t xml:space="preserve">However, it remains ultimately </w:t>
      </w:r>
      <w:r w:rsidR="003D5320">
        <w:rPr>
          <w:lang w:val="en-GB"/>
        </w:rPr>
        <w:t xml:space="preserve">the </w:t>
      </w:r>
      <w:r w:rsidRPr="00DD1C37">
        <w:rPr>
          <w:lang w:val="en-GB"/>
        </w:rPr>
        <w:t xml:space="preserve">Member States’ responsibility to decide, after analysis of available information, to use or not to use processing factors and, if used, to decide on an appropriate factor as a basis for taking enforcement action. Some criteria should be laid down for Member States in this Note to assist them to take such a decision. </w:t>
      </w:r>
    </w:p>
    <w:p w14:paraId="48B7B084" w14:textId="31B6E3A1" w:rsidR="00DD1C37" w:rsidRDefault="00DD1C37" w:rsidP="0038298F">
      <w:pPr>
        <w:jc w:val="both"/>
        <w:rPr>
          <w:lang w:val="en-GB"/>
        </w:rPr>
      </w:pPr>
      <w:r w:rsidRPr="00DD1C37">
        <w:rPr>
          <w:lang w:val="en-GB"/>
        </w:rPr>
        <w:lastRenderedPageBreak/>
        <w:t>The intention of this information note is not to lay down details on how a compa</w:t>
      </w:r>
      <w:r w:rsidR="00A17A66">
        <w:rPr>
          <w:lang w:val="en-GB"/>
        </w:rPr>
        <w:t>ny (e.g. a FBO) should organise its</w:t>
      </w:r>
      <w:r w:rsidRPr="00DD1C37">
        <w:rPr>
          <w:lang w:val="en-GB"/>
        </w:rPr>
        <w:t xml:space="preserve"> own checks</w:t>
      </w:r>
      <w:r w:rsidR="00A17A66">
        <w:rPr>
          <w:lang w:val="en-GB"/>
        </w:rPr>
        <w:t xml:space="preserve">. It remains entirely the responsibility and duty of the </w:t>
      </w:r>
      <w:r w:rsidR="00DD60BC">
        <w:rPr>
          <w:lang w:val="en-GB"/>
        </w:rPr>
        <w:t>FBOs</w:t>
      </w:r>
      <w:r w:rsidR="00A17A66">
        <w:rPr>
          <w:lang w:val="en-GB"/>
        </w:rPr>
        <w:t xml:space="preserve"> to act in due diligence. </w:t>
      </w:r>
    </w:p>
    <w:p w14:paraId="69C8F92C" w14:textId="3B3CD8E5" w:rsidR="00DD1C37" w:rsidRDefault="00DD1C37" w:rsidP="0038298F">
      <w:pPr>
        <w:pStyle w:val="ListParagraph"/>
        <w:numPr>
          <w:ilvl w:val="0"/>
          <w:numId w:val="6"/>
        </w:numPr>
        <w:spacing w:after="100" w:afterAutospacing="1"/>
        <w:rPr>
          <w:rFonts w:ascii="Times New Roman" w:eastAsia="Times New Roman" w:hAnsi="Times New Roman" w:cs="Times New Roman"/>
          <w:b/>
          <w:caps/>
          <w:sz w:val="24"/>
          <w:szCs w:val="20"/>
          <w:lang w:val="en-IE" w:eastAsia="en-GB"/>
        </w:rPr>
      </w:pPr>
      <w:r w:rsidRPr="007E5D42">
        <w:rPr>
          <w:rFonts w:ascii="Times New Roman" w:eastAsia="Times New Roman" w:hAnsi="Times New Roman" w:cs="Times New Roman"/>
          <w:b/>
          <w:caps/>
          <w:sz w:val="24"/>
          <w:szCs w:val="20"/>
          <w:lang w:val="en-IE" w:eastAsia="en-GB"/>
        </w:rPr>
        <w:t>Legal background</w:t>
      </w:r>
    </w:p>
    <w:p w14:paraId="1D7DC313" w14:textId="45713028" w:rsidR="00C60493" w:rsidRDefault="00DD1C37" w:rsidP="0038298F">
      <w:pPr>
        <w:spacing w:after="100" w:afterAutospacing="1"/>
        <w:jc w:val="both"/>
        <w:rPr>
          <w:lang w:val="en-IE" w:eastAsia="en-GB"/>
        </w:rPr>
      </w:pPr>
      <w:r w:rsidRPr="0038298F">
        <w:rPr>
          <w:lang w:val="en-IE" w:eastAsia="en-GB"/>
        </w:rPr>
        <w:t>Article 20</w:t>
      </w:r>
      <w:r>
        <w:rPr>
          <w:lang w:val="en-IE" w:eastAsia="en-GB"/>
        </w:rPr>
        <w:t>(1)</w:t>
      </w:r>
      <w:r w:rsidRPr="0038298F">
        <w:rPr>
          <w:lang w:val="en-IE" w:eastAsia="en-GB"/>
        </w:rPr>
        <w:t xml:space="preserve"> of Regulation (EC) No 396/2005</w:t>
      </w:r>
      <w:r w:rsidRPr="0038298F">
        <w:rPr>
          <w:lang w:val="en-IE" w:eastAsia="en-GB"/>
        </w:rPr>
        <w:footnoteReference w:id="5"/>
      </w:r>
      <w:r w:rsidRPr="0038298F">
        <w:rPr>
          <w:lang w:val="en-IE" w:eastAsia="en-GB"/>
        </w:rPr>
        <w:t xml:space="preserve"> states tha</w:t>
      </w:r>
      <w:r w:rsidR="00DD60BC">
        <w:rPr>
          <w:lang w:val="en-IE" w:eastAsia="en-GB"/>
        </w:rPr>
        <w:t xml:space="preserve">t </w:t>
      </w:r>
      <w:r w:rsidR="00BC7B2F">
        <w:rPr>
          <w:lang w:val="en-IE" w:eastAsia="en-GB"/>
        </w:rPr>
        <w:t xml:space="preserve">where </w:t>
      </w:r>
      <w:r w:rsidR="00DD60BC">
        <w:rPr>
          <w:lang w:val="en-IE" w:eastAsia="en-GB"/>
        </w:rPr>
        <w:t>MRLs</w:t>
      </w:r>
      <w:r w:rsidRPr="0038298F">
        <w:rPr>
          <w:lang w:val="en-IE" w:eastAsia="en-GB"/>
        </w:rPr>
        <w:t xml:space="preserve"> are not set out in Annexes II or III for processed and/or composite food or feed</w:t>
      </w:r>
      <w:r w:rsidR="00BC7B2F">
        <w:rPr>
          <w:lang w:val="en-IE" w:eastAsia="en-GB"/>
        </w:rPr>
        <w:t>,</w:t>
      </w:r>
      <w:r w:rsidR="00DA0AC1">
        <w:rPr>
          <w:lang w:val="en-IE" w:eastAsia="en-GB"/>
        </w:rPr>
        <w:t xml:space="preserve"> </w:t>
      </w:r>
      <w:r w:rsidR="00BC7B2F">
        <w:rPr>
          <w:lang w:val="en-IE" w:eastAsia="en-GB"/>
        </w:rPr>
        <w:t>the</w:t>
      </w:r>
      <w:r w:rsidR="00BC7B2F" w:rsidRPr="0038298F">
        <w:rPr>
          <w:lang w:val="en-IE" w:eastAsia="en-GB"/>
        </w:rPr>
        <w:t xml:space="preserve"> </w:t>
      </w:r>
      <w:r w:rsidRPr="0038298F">
        <w:rPr>
          <w:lang w:val="en-IE" w:eastAsia="en-GB"/>
        </w:rPr>
        <w:t>MRLs applicable to processed foods</w:t>
      </w:r>
      <w:r w:rsidR="00806701">
        <w:rPr>
          <w:lang w:val="en-IE" w:eastAsia="en-GB"/>
        </w:rPr>
        <w:t xml:space="preserve"> </w:t>
      </w:r>
      <w:r w:rsidRPr="0038298F">
        <w:rPr>
          <w:lang w:val="en-IE" w:eastAsia="en-GB"/>
        </w:rPr>
        <w:t xml:space="preserve">and feed should be calculated taking into account changes in the levels of pesticide residues caused by processing. In addition, Article 20 </w:t>
      </w:r>
      <w:r w:rsidR="00D2532A">
        <w:rPr>
          <w:lang w:val="en-IE" w:eastAsia="en-GB"/>
        </w:rPr>
        <w:t>empowers</w:t>
      </w:r>
      <w:r w:rsidRPr="0038298F">
        <w:rPr>
          <w:lang w:val="en-IE" w:eastAsia="en-GB"/>
        </w:rPr>
        <w:t xml:space="preserve"> the Commission to establish Annex VI for specific concentration or dilution factors for certain processing and/or mixing operations or for certain processed and/or composite products. </w:t>
      </w:r>
      <w:r>
        <w:rPr>
          <w:lang w:val="en-IE" w:eastAsia="en-GB"/>
        </w:rPr>
        <w:t>The</w:t>
      </w:r>
      <w:r w:rsidR="00D2532A">
        <w:rPr>
          <w:lang w:val="en-IE" w:eastAsia="en-GB"/>
        </w:rPr>
        <w:t xml:space="preserve"> Commission has not used this</w:t>
      </w:r>
      <w:r w:rsidR="007C48D9">
        <w:rPr>
          <w:lang w:val="en-IE" w:eastAsia="en-GB"/>
        </w:rPr>
        <w:t xml:space="preserve"> em</w:t>
      </w:r>
      <w:r w:rsidR="00D2532A">
        <w:rPr>
          <w:lang w:val="en-IE" w:eastAsia="en-GB"/>
        </w:rPr>
        <w:t>power</w:t>
      </w:r>
      <w:r w:rsidR="007C48D9">
        <w:rPr>
          <w:lang w:val="en-IE" w:eastAsia="en-GB"/>
        </w:rPr>
        <w:t>ment</w:t>
      </w:r>
      <w:r w:rsidR="00D2532A">
        <w:rPr>
          <w:lang w:val="en-IE" w:eastAsia="en-GB"/>
        </w:rPr>
        <w:t xml:space="preserve"> </w:t>
      </w:r>
      <w:r>
        <w:rPr>
          <w:lang w:val="en-IE" w:eastAsia="en-GB"/>
        </w:rPr>
        <w:t xml:space="preserve">and </w:t>
      </w:r>
      <w:r w:rsidRPr="0038298F">
        <w:rPr>
          <w:lang w:val="en-IE" w:eastAsia="en-GB"/>
        </w:rPr>
        <w:t>Annex VI has not yet been established. Annex I on products of plant and animal origin to which MRLs apply also contains a category for processed food products</w:t>
      </w:r>
      <w:r w:rsidR="00BC7B2F" w:rsidRPr="00BC7B2F">
        <w:t xml:space="preserve"> </w:t>
      </w:r>
      <w:r w:rsidR="00BC7B2F" w:rsidRPr="00BC7B2F">
        <w:rPr>
          <w:lang w:val="en-IE" w:eastAsia="en-GB"/>
        </w:rPr>
        <w:t>(category 1300000)</w:t>
      </w:r>
      <w:r w:rsidRPr="0038298F">
        <w:rPr>
          <w:lang w:val="en-IE" w:eastAsia="en-GB"/>
        </w:rPr>
        <w:t xml:space="preserve">. This category is still empty, therefore, specific MRLs for processed products have not yet been set at European Union (EU) level. </w:t>
      </w:r>
    </w:p>
    <w:p w14:paraId="1BD19E88" w14:textId="5EF81A0E" w:rsidR="00C60493" w:rsidRDefault="00C60493" w:rsidP="00C60493">
      <w:pPr>
        <w:jc w:val="both"/>
      </w:pPr>
      <w:r>
        <w:t>Annex I also contains a category 1200000 for “Products or parts of products exclusively used for animal feed production”: this category is empty as well, as specific MRLs have not yet been set for processe</w:t>
      </w:r>
      <w:r w:rsidR="002114D8">
        <w:t>d feed. Moreover, according to F</w:t>
      </w:r>
      <w:r>
        <w:t>ootnote 1 of Annex I, existing MRLs do not apply to products or parts of products that by their characteristics and nature are used exclusively as ingredients of animal feed. However, the</w:t>
      </w:r>
      <w:r w:rsidR="00DB75F5">
        <w:t>se</w:t>
      </w:r>
      <w:r>
        <w:t xml:space="preserve"> apply to products which can be used in food as well as feed.</w:t>
      </w:r>
    </w:p>
    <w:p w14:paraId="53BB8632" w14:textId="0ADAE63D" w:rsidR="00C60493" w:rsidRDefault="00C60493" w:rsidP="00C60493">
      <w:pPr>
        <w:jc w:val="both"/>
      </w:pPr>
      <w:r>
        <w:t xml:space="preserve">Therefore the principles of this note apply also </w:t>
      </w:r>
      <w:r w:rsidR="003C7E4E">
        <w:t>to:</w:t>
      </w:r>
    </w:p>
    <w:p w14:paraId="5C180E3E" w14:textId="77777777" w:rsidR="00C60493" w:rsidRDefault="00C60493" w:rsidP="00F85DC2">
      <w:pPr>
        <w:pStyle w:val="ListParagraph"/>
        <w:numPr>
          <w:ilvl w:val="0"/>
          <w:numId w:val="34"/>
        </w:numPr>
        <w:jc w:val="both"/>
      </w:pPr>
      <w:r>
        <w:t>Processed/composite feed that, by its characteristics and nature, could also be used as food ;</w:t>
      </w:r>
    </w:p>
    <w:p w14:paraId="21E757D0" w14:textId="76FFC82B" w:rsidR="00C60493" w:rsidRPr="00C60493" w:rsidRDefault="00C60493" w:rsidP="00F85DC2">
      <w:pPr>
        <w:pStyle w:val="ListParagraph"/>
        <w:numPr>
          <w:ilvl w:val="0"/>
          <w:numId w:val="34"/>
        </w:numPr>
        <w:rPr>
          <w:rFonts w:ascii="Times New Roman" w:hAnsi="Times New Roman" w:cs="Times New Roman"/>
          <w:sz w:val="24"/>
          <w:szCs w:val="24"/>
        </w:rPr>
      </w:pPr>
      <w:r>
        <w:t xml:space="preserve">Processed/composite feed that, by its characteristics and nature, is used exclusively as feed, but which is obtained from processing/mixing raw commodities that can </w:t>
      </w:r>
      <w:r w:rsidR="002114D8">
        <w:t>be used in food as well as feed</w:t>
      </w:r>
      <w:r>
        <w:t>; in this case the MRL of the raw commodity is applicable (taking into account a processing factor). This is notably the case for by-products of the food industry which are used as ingredients of animal feed.</w:t>
      </w:r>
      <w:r w:rsidRPr="00C60493">
        <w:rPr>
          <w:rFonts w:ascii="Times New Roman" w:hAnsi="Times New Roman" w:cs="Times New Roman"/>
          <w:sz w:val="24"/>
          <w:szCs w:val="24"/>
        </w:rPr>
        <w:t xml:space="preserve"> </w:t>
      </w:r>
    </w:p>
    <w:p w14:paraId="09AFDFA2" w14:textId="77777777" w:rsidR="00C60493" w:rsidRPr="00C60493" w:rsidRDefault="00C60493" w:rsidP="0038298F">
      <w:pPr>
        <w:spacing w:after="100" w:afterAutospacing="1"/>
        <w:jc w:val="both"/>
        <w:rPr>
          <w:lang w:eastAsia="en-GB"/>
        </w:rPr>
      </w:pPr>
    </w:p>
    <w:p w14:paraId="0EE441CE" w14:textId="2C9618F9" w:rsidR="00DD1C37" w:rsidRDefault="00DD1C37" w:rsidP="00DD1C37">
      <w:pPr>
        <w:jc w:val="both"/>
        <w:rPr>
          <w:lang w:val="en-GB"/>
        </w:rPr>
      </w:pPr>
      <w:r w:rsidRPr="00621249">
        <w:rPr>
          <w:lang w:val="en-GB"/>
        </w:rPr>
        <w:t xml:space="preserve">Where </w:t>
      </w:r>
      <w:r>
        <w:rPr>
          <w:lang w:val="en-GB"/>
        </w:rPr>
        <w:t xml:space="preserve">specific </w:t>
      </w:r>
      <w:r w:rsidRPr="00621249">
        <w:rPr>
          <w:lang w:val="en-GB"/>
        </w:rPr>
        <w:t>MRLs are not set out in Annexes II or III for processed and/or composite food or feed, the MRLs applicable shall be those provided in Article 18(1) for the relevant product covered by Annex I, taking into account changes in the levels of pesticide</w:t>
      </w:r>
      <w:r>
        <w:rPr>
          <w:lang w:val="en-GB"/>
        </w:rPr>
        <w:t xml:space="preserve"> </w:t>
      </w:r>
      <w:r w:rsidRPr="00621249">
        <w:rPr>
          <w:lang w:val="en-GB"/>
        </w:rPr>
        <w:t>residues caused by processing and/or mixing.</w:t>
      </w:r>
      <w:r w:rsidRPr="00621249" w:rsidDel="001D66B3">
        <w:rPr>
          <w:lang w:val="en-GB"/>
        </w:rPr>
        <w:t xml:space="preserve"> </w:t>
      </w:r>
      <w:r>
        <w:rPr>
          <w:lang w:val="en-GB"/>
        </w:rPr>
        <w:t>The provisions of Article 20 therefor</w:t>
      </w:r>
      <w:r w:rsidR="00DD60BC">
        <w:rPr>
          <w:lang w:val="en-GB"/>
        </w:rPr>
        <w:t>e</w:t>
      </w:r>
      <w:r>
        <w:rPr>
          <w:lang w:val="en-GB"/>
        </w:rPr>
        <w:t xml:space="preserve"> apply to products for which MRLs have been established in Annex II and III (Article 18(1)(a), but also to MRLs established at the default level of 0.01 mg/kg or at a specific limit of quantification</w:t>
      </w:r>
      <w:r w:rsidR="00DA0AC1">
        <w:rPr>
          <w:lang w:val="en-GB"/>
        </w:rPr>
        <w:t xml:space="preserve"> (LOQ)</w:t>
      </w:r>
      <w:r>
        <w:rPr>
          <w:lang w:val="en-GB"/>
        </w:rPr>
        <w:t xml:space="preserve"> (Article 18(1)(b)). Those specific LOQs can be established for a given substance-commodity combination in any of the Annexes II, III or V. </w:t>
      </w:r>
    </w:p>
    <w:p w14:paraId="047AE8B9" w14:textId="60AAFB8F" w:rsidR="00E84723" w:rsidRPr="00654782" w:rsidRDefault="00E84723" w:rsidP="00E84723">
      <w:pPr>
        <w:jc w:val="both"/>
        <w:rPr>
          <w:lang w:val="en-GB"/>
        </w:rPr>
      </w:pPr>
      <w:r w:rsidRPr="536FF9DF">
        <w:rPr>
          <w:lang w:val="en-GB"/>
        </w:rPr>
        <w:lastRenderedPageBreak/>
        <w:t>The Regulation does not give any more detail on how compliance</w:t>
      </w:r>
      <w:r w:rsidR="00D2532A">
        <w:rPr>
          <w:lang w:val="en-GB"/>
        </w:rPr>
        <w:t xml:space="preserve"> of </w:t>
      </w:r>
      <w:r w:rsidRPr="536FF9DF">
        <w:rPr>
          <w:lang w:val="en-GB"/>
        </w:rPr>
        <w:t>processed or composite products should be established and implementation of these provisions in enforcement practice is the responsibility of the Member States’ national authorities in charge of official controls</w:t>
      </w:r>
      <w:r>
        <w:rPr>
          <w:lang w:val="en-GB"/>
        </w:rPr>
        <w:t>.</w:t>
      </w:r>
    </w:p>
    <w:p w14:paraId="4A070CD7" w14:textId="6814FEC3" w:rsidR="00F310E3" w:rsidRPr="00872D36" w:rsidRDefault="00F310E3" w:rsidP="0038298F">
      <w:pPr>
        <w:pStyle w:val="ListParagraph"/>
        <w:numPr>
          <w:ilvl w:val="0"/>
          <w:numId w:val="6"/>
        </w:numPr>
        <w:spacing w:after="100" w:afterAutospacing="1"/>
        <w:rPr>
          <w:rFonts w:ascii="Times New Roman" w:eastAsia="Times New Roman" w:hAnsi="Times New Roman" w:cs="Times New Roman"/>
          <w:b/>
          <w:caps/>
          <w:sz w:val="24"/>
          <w:szCs w:val="20"/>
          <w:lang w:val="en-IE" w:eastAsia="en-GB"/>
        </w:rPr>
      </w:pPr>
      <w:r w:rsidRPr="00872D36">
        <w:rPr>
          <w:rFonts w:ascii="Times New Roman" w:eastAsia="Times New Roman" w:hAnsi="Times New Roman" w:cs="Times New Roman"/>
          <w:b/>
          <w:caps/>
          <w:sz w:val="24"/>
          <w:szCs w:val="20"/>
          <w:lang w:val="en-IE" w:eastAsia="en-GB"/>
        </w:rPr>
        <w:t>Definition</w:t>
      </w:r>
      <w:r w:rsidR="00E84723">
        <w:rPr>
          <w:rFonts w:ascii="Times New Roman" w:eastAsia="Times New Roman" w:hAnsi="Times New Roman" w:cs="Times New Roman"/>
          <w:b/>
          <w:caps/>
          <w:sz w:val="24"/>
          <w:szCs w:val="20"/>
          <w:lang w:val="en-IE" w:eastAsia="en-GB"/>
        </w:rPr>
        <w:t>s</w:t>
      </w:r>
    </w:p>
    <w:p w14:paraId="0B847032" w14:textId="5441528C" w:rsidR="002E1F60" w:rsidRDefault="002E1F60" w:rsidP="0038298F">
      <w:pPr>
        <w:rPr>
          <w:lang w:val="en-IE"/>
        </w:rPr>
      </w:pPr>
      <w:r w:rsidRPr="161D2D14">
        <w:rPr>
          <w:lang w:val="en-IE"/>
        </w:rPr>
        <w:t xml:space="preserve">For the purpose of this </w:t>
      </w:r>
      <w:r w:rsidR="00705EE0" w:rsidRPr="161D2D14">
        <w:rPr>
          <w:lang w:val="en-IE"/>
        </w:rPr>
        <w:t>information note</w:t>
      </w:r>
      <w:r w:rsidR="00751AA6">
        <w:rPr>
          <w:lang w:val="en-IE"/>
        </w:rPr>
        <w:t>,</w:t>
      </w:r>
      <w:r w:rsidR="00D7799E">
        <w:rPr>
          <w:lang w:val="en-IE"/>
        </w:rPr>
        <w:t xml:space="preserve"> </w:t>
      </w:r>
      <w:r w:rsidR="005804C4">
        <w:rPr>
          <w:lang w:val="en-IE"/>
        </w:rPr>
        <w:t>the following definitions apply:</w:t>
      </w:r>
    </w:p>
    <w:p w14:paraId="6908B925" w14:textId="55FE5A2D" w:rsidR="00994409" w:rsidRDefault="00994409" w:rsidP="0038298F">
      <w:pPr>
        <w:rPr>
          <w:lang w:val="en-IE"/>
        </w:rPr>
      </w:pPr>
      <w:r w:rsidRPr="0040575E">
        <w:rPr>
          <w:b/>
          <w:lang w:val="en-IE"/>
        </w:rPr>
        <w:t xml:space="preserve">Products covered by Annex </w:t>
      </w:r>
      <w:r w:rsidR="009C1983">
        <w:rPr>
          <w:b/>
          <w:lang w:val="en-IE"/>
        </w:rPr>
        <w:t>I</w:t>
      </w:r>
      <w:r w:rsidR="009C1983" w:rsidRPr="0040575E">
        <w:rPr>
          <w:b/>
          <w:lang w:val="en-IE"/>
        </w:rPr>
        <w:t xml:space="preserve"> </w:t>
      </w:r>
      <w:r w:rsidRPr="0040575E">
        <w:rPr>
          <w:b/>
          <w:lang w:val="en-IE"/>
        </w:rPr>
        <w:t>of Regulation (EC) No 396/2005:</w:t>
      </w:r>
      <w:r>
        <w:rPr>
          <w:lang w:val="en-IE"/>
        </w:rPr>
        <w:t xml:space="preserve"> This </w:t>
      </w:r>
      <w:r w:rsidR="009C1983">
        <w:rPr>
          <w:lang w:val="en-IE"/>
        </w:rPr>
        <w:t xml:space="preserve">information </w:t>
      </w:r>
      <w:r>
        <w:rPr>
          <w:lang w:val="en-IE"/>
        </w:rPr>
        <w:t xml:space="preserve">note covers all products covered by Annex I of Regulation (EC) No 396/2005 as those are the products to which MRLs apply. The listed products in Annex </w:t>
      </w:r>
      <w:r w:rsidR="00DA0AC1">
        <w:rPr>
          <w:lang w:val="en-IE"/>
        </w:rPr>
        <w:t xml:space="preserve">I </w:t>
      </w:r>
      <w:r>
        <w:rPr>
          <w:lang w:val="en-IE"/>
        </w:rPr>
        <w:t xml:space="preserve">are mostly unprocessed products, but Annex </w:t>
      </w:r>
      <w:r w:rsidR="00DA0AC1">
        <w:rPr>
          <w:lang w:val="en-IE"/>
        </w:rPr>
        <w:t xml:space="preserve">I </w:t>
      </w:r>
      <w:r>
        <w:rPr>
          <w:lang w:val="en-IE"/>
        </w:rPr>
        <w:t xml:space="preserve">also includes some processed (dried) products, such as </w:t>
      </w:r>
      <w:r w:rsidR="00AD5926">
        <w:rPr>
          <w:lang w:val="en-IE"/>
        </w:rPr>
        <w:t xml:space="preserve">tea, </w:t>
      </w:r>
      <w:r w:rsidR="00A7379D">
        <w:rPr>
          <w:lang w:val="en-IE"/>
        </w:rPr>
        <w:t xml:space="preserve">certain </w:t>
      </w:r>
      <w:r>
        <w:rPr>
          <w:lang w:val="en-IE"/>
        </w:rPr>
        <w:t xml:space="preserve">spices or herbal infusions. MRLs apply directly to them and no further drying factor should be applied to them. </w:t>
      </w:r>
      <w:r w:rsidR="00AD5926">
        <w:rPr>
          <w:lang w:val="en-IE"/>
        </w:rPr>
        <w:t xml:space="preserve">If other processing operations would be applied to those products, processing factors would still need to be considered. </w:t>
      </w:r>
    </w:p>
    <w:p w14:paraId="32BB7192" w14:textId="6CC03C79" w:rsidR="00AD5926" w:rsidRDefault="007875A5" w:rsidP="00AD5926">
      <w:pPr>
        <w:rPr>
          <w:lang w:val="en-IE"/>
        </w:rPr>
      </w:pPr>
      <w:r w:rsidRPr="000A21E0">
        <w:rPr>
          <w:b/>
          <w:lang w:val="en-IE"/>
        </w:rPr>
        <w:t>Unprocessed products</w:t>
      </w:r>
      <w:r w:rsidR="00CB4DAA">
        <w:rPr>
          <w:b/>
          <w:lang w:val="en-IE"/>
        </w:rPr>
        <w:t xml:space="preserve">: </w:t>
      </w:r>
      <w:r w:rsidR="007E5BE9">
        <w:rPr>
          <w:lang w:val="en-IE"/>
        </w:rPr>
        <w:t>U</w:t>
      </w:r>
      <w:r w:rsidR="005804C4">
        <w:rPr>
          <w:lang w:val="en-IE"/>
        </w:rPr>
        <w:t>nprocessed products are</w:t>
      </w:r>
      <w:r w:rsidR="00994409">
        <w:rPr>
          <w:lang w:val="en-IE"/>
        </w:rPr>
        <w:t xml:space="preserve"> generally</w:t>
      </w:r>
      <w:r w:rsidR="005804C4">
        <w:rPr>
          <w:lang w:val="en-IE"/>
        </w:rPr>
        <w:t xml:space="preserve"> defined in Article 2(1)(n) of Regulation</w:t>
      </w:r>
      <w:r w:rsidR="001C2C24">
        <w:rPr>
          <w:lang w:val="en-IE"/>
        </w:rPr>
        <w:t xml:space="preserve"> (EC)</w:t>
      </w:r>
      <w:r w:rsidR="005804C4">
        <w:rPr>
          <w:lang w:val="en-IE"/>
        </w:rPr>
        <w:t xml:space="preserve"> 852/2004 on the hygiene of foodstuffs</w:t>
      </w:r>
      <w:r w:rsidR="005804C4" w:rsidRPr="161D2D14">
        <w:rPr>
          <w:rStyle w:val="FootnoteReference"/>
          <w:rFonts w:eastAsiaTheme="minorEastAsia"/>
          <w:lang w:val="en-IE"/>
        </w:rPr>
        <w:footnoteReference w:id="6"/>
      </w:r>
      <w:r w:rsidR="00E84723">
        <w:rPr>
          <w:lang w:val="en-IE"/>
        </w:rPr>
        <w:t xml:space="preserve"> </w:t>
      </w:r>
      <w:r w:rsidR="0040575E">
        <w:rPr>
          <w:lang w:val="en-IE"/>
        </w:rPr>
        <w:t xml:space="preserve">. </w:t>
      </w:r>
      <w:r w:rsidR="00994409">
        <w:rPr>
          <w:lang w:val="en-IE"/>
        </w:rPr>
        <w:t>Several examples of unprocessed products are given</w:t>
      </w:r>
      <w:r w:rsidR="00AD5926">
        <w:rPr>
          <w:lang w:val="en-IE"/>
        </w:rPr>
        <w:t xml:space="preserve">, not all of them fully compatible with the concept of Annex </w:t>
      </w:r>
      <w:r w:rsidR="00DA0AC1">
        <w:rPr>
          <w:lang w:val="en-IE"/>
        </w:rPr>
        <w:t xml:space="preserve">I </w:t>
      </w:r>
      <w:r w:rsidR="00AD5926">
        <w:rPr>
          <w:lang w:val="en-IE"/>
        </w:rPr>
        <w:t>to Regulation (EC) No 396/2005</w:t>
      </w:r>
      <w:r w:rsidR="00994409">
        <w:rPr>
          <w:lang w:val="en-IE"/>
        </w:rPr>
        <w:t>.</w:t>
      </w:r>
      <w:r w:rsidR="008C1285">
        <w:rPr>
          <w:lang w:val="en-IE"/>
        </w:rPr>
        <w:t xml:space="preserve"> </w:t>
      </w:r>
      <w:r w:rsidR="00AD5926">
        <w:rPr>
          <w:lang w:val="en-IE"/>
        </w:rPr>
        <w:t xml:space="preserve">For the purpose of Regulation (EC) No 396/2005 the most important unprocessed products are </w:t>
      </w:r>
      <w:r w:rsidR="00AD5926" w:rsidRPr="00D8008B">
        <w:rPr>
          <w:lang w:val="en-IE"/>
        </w:rPr>
        <w:t>products that have been chilled, frozen, deep-frozen or thawed</w:t>
      </w:r>
      <w:r w:rsidR="00AD5926">
        <w:rPr>
          <w:lang w:val="en-IE"/>
        </w:rPr>
        <w:t>.</w:t>
      </w:r>
    </w:p>
    <w:p w14:paraId="0D717F5B" w14:textId="7179D532" w:rsidR="00A7379D" w:rsidRDefault="006B01A3">
      <w:pPr>
        <w:rPr>
          <w:lang w:val="en-IE"/>
        </w:rPr>
      </w:pPr>
      <w:r w:rsidRPr="002E1F60">
        <w:rPr>
          <w:b/>
          <w:lang w:val="en-IE"/>
        </w:rPr>
        <w:t>Processing:</w:t>
      </w:r>
      <w:r>
        <w:rPr>
          <w:lang w:val="en-IE"/>
        </w:rPr>
        <w:t xml:space="preserve"> Processing is defined in Article 2(1)(m) of Regulation 852/2004 as ‘A</w:t>
      </w:r>
      <w:r w:rsidRPr="00C47EA5">
        <w:rPr>
          <w:lang w:val="en-IE"/>
        </w:rPr>
        <w:t>ny action that substantially alters the initial product, including heating, smoking,</w:t>
      </w:r>
      <w:r w:rsidR="006433E0">
        <w:rPr>
          <w:lang w:val="en-IE"/>
        </w:rPr>
        <w:t xml:space="preserve"> crushing,</w:t>
      </w:r>
      <w:r w:rsidRPr="00C47EA5">
        <w:rPr>
          <w:lang w:val="en-IE"/>
        </w:rPr>
        <w:t xml:space="preserve"> curing, maturing, drying, marinating, extraction, extrusion</w:t>
      </w:r>
      <w:r>
        <w:rPr>
          <w:lang w:val="en-IE"/>
        </w:rPr>
        <w:t xml:space="preserve"> </w:t>
      </w:r>
      <w:r w:rsidRPr="00C47EA5">
        <w:rPr>
          <w:lang w:val="en-IE"/>
        </w:rPr>
        <w:t>or a combination of those processes</w:t>
      </w:r>
      <w:r>
        <w:rPr>
          <w:lang w:val="en-IE"/>
        </w:rPr>
        <w:t>. In addition, operations that remove a part of the product such as peeling, pitting or milling and the process of blanching are also considered processing operations for the purpose of this document.</w:t>
      </w:r>
      <w:r w:rsidR="00FB0893">
        <w:rPr>
          <w:lang w:val="en-IE"/>
        </w:rPr>
        <w:t xml:space="preserve"> </w:t>
      </w:r>
    </w:p>
    <w:p w14:paraId="341E4471" w14:textId="77777777" w:rsidR="005F77B4" w:rsidRDefault="00A7379D" w:rsidP="0038298F">
      <w:pPr>
        <w:rPr>
          <w:lang w:val="en-IE"/>
        </w:rPr>
      </w:pPr>
      <w:r>
        <w:rPr>
          <w:lang w:val="en-IE"/>
        </w:rPr>
        <w:t xml:space="preserve">For washing operations the following should be noted: </w:t>
      </w:r>
      <w:r w:rsidR="002F40D7" w:rsidRPr="002F40D7">
        <w:rPr>
          <w:lang w:val="en-IE"/>
        </w:rPr>
        <w:t xml:space="preserve"> for MRL setting, gentle washing is only allowed for roots to remove loosely adhering soil, scrubbing is not allowed. For all other agricultural products washing is not allowed when setting an MRL as it may remove residues from the surface.</w:t>
      </w:r>
      <w:r w:rsidR="002F40D7">
        <w:rPr>
          <w:lang w:val="en-IE"/>
        </w:rPr>
        <w:t xml:space="preserve"> Therefore</w:t>
      </w:r>
      <w:r w:rsidR="00FB0893">
        <w:rPr>
          <w:lang w:val="en-IE"/>
        </w:rPr>
        <w:t>,</w:t>
      </w:r>
      <w:r w:rsidR="00C243E0" w:rsidRPr="00C243E0">
        <w:t xml:space="preserve"> </w:t>
      </w:r>
      <w:r w:rsidR="00C243E0">
        <w:rPr>
          <w:lang w:val="en-IE"/>
        </w:rPr>
        <w:t>f</w:t>
      </w:r>
      <w:r w:rsidR="00C243E0" w:rsidRPr="00C243E0">
        <w:rPr>
          <w:lang w:val="en-IE"/>
        </w:rPr>
        <w:t>or the purpose of this document</w:t>
      </w:r>
      <w:r w:rsidR="00FB0893">
        <w:rPr>
          <w:lang w:val="en-IE"/>
        </w:rPr>
        <w:t xml:space="preserve"> </w:t>
      </w:r>
      <w:r w:rsidR="002F40D7">
        <w:rPr>
          <w:lang w:val="en-IE"/>
        </w:rPr>
        <w:t xml:space="preserve">as water may change the residue level of the </w:t>
      </w:r>
      <w:r w:rsidR="006C548F">
        <w:rPr>
          <w:lang w:val="en-IE"/>
        </w:rPr>
        <w:t>initial</w:t>
      </w:r>
      <w:r w:rsidR="002F40D7">
        <w:rPr>
          <w:lang w:val="en-IE"/>
        </w:rPr>
        <w:t xml:space="preserve"> product, washing is considered a processing operation. This also may include</w:t>
      </w:r>
      <w:r w:rsidR="00FB0893">
        <w:rPr>
          <w:lang w:val="en-IE"/>
        </w:rPr>
        <w:t xml:space="preserve"> washing with chlorinated water</w:t>
      </w:r>
      <w:r w:rsidR="002F40D7">
        <w:rPr>
          <w:lang w:val="en-IE"/>
        </w:rPr>
        <w:t>, if it</w:t>
      </w:r>
      <w:r w:rsidR="00FB0893">
        <w:rPr>
          <w:lang w:val="en-IE"/>
        </w:rPr>
        <w:t xml:space="preserve"> </w:t>
      </w:r>
      <w:r>
        <w:rPr>
          <w:lang w:val="en-IE"/>
        </w:rPr>
        <w:t>changes</w:t>
      </w:r>
      <w:r w:rsidR="00FB0893">
        <w:rPr>
          <w:lang w:val="en-IE"/>
        </w:rPr>
        <w:t xml:space="preserve"> chlorate levels in foodstuffs</w:t>
      </w:r>
      <w:r w:rsidR="006C548F">
        <w:rPr>
          <w:lang w:val="en-IE"/>
        </w:rPr>
        <w:t>.</w:t>
      </w:r>
      <w:r w:rsidR="00FB0893">
        <w:rPr>
          <w:lang w:val="en-IE"/>
        </w:rPr>
        <w:t xml:space="preserve"> </w:t>
      </w:r>
    </w:p>
    <w:p w14:paraId="53C8F29A" w14:textId="3CA57FA2" w:rsidR="00F310E3" w:rsidRPr="00872D36" w:rsidRDefault="00413413" w:rsidP="0038298F">
      <w:pPr>
        <w:rPr>
          <w:lang w:val="en-IE"/>
        </w:rPr>
      </w:pPr>
      <w:r w:rsidRPr="00F93698">
        <w:rPr>
          <w:b/>
          <w:lang w:val="en-IE"/>
        </w:rPr>
        <w:t>Processed products:</w:t>
      </w:r>
      <w:r>
        <w:rPr>
          <w:lang w:val="en-IE"/>
        </w:rPr>
        <w:t xml:space="preserve"> </w:t>
      </w:r>
      <w:r w:rsidR="005804C4">
        <w:rPr>
          <w:lang w:val="en-IE"/>
        </w:rPr>
        <w:t>Processed products are products as defined in Article 2(1)(o) of Regulation 852/2004</w:t>
      </w:r>
      <w:r w:rsidR="0038298F">
        <w:rPr>
          <w:lang w:val="en-IE"/>
        </w:rPr>
        <w:t xml:space="preserve"> </w:t>
      </w:r>
      <w:r w:rsidR="00E84723">
        <w:rPr>
          <w:lang w:val="en-IE"/>
        </w:rPr>
        <w:t>as ‘</w:t>
      </w:r>
      <w:r w:rsidR="00712233">
        <w:rPr>
          <w:lang w:val="en-IE"/>
        </w:rPr>
        <w:t>F</w:t>
      </w:r>
      <w:r w:rsidR="00872D36" w:rsidRPr="00872D36">
        <w:rPr>
          <w:lang w:val="en-IE"/>
        </w:rPr>
        <w:t>ood</w:t>
      </w:r>
      <w:r w:rsidR="0034567E">
        <w:rPr>
          <w:lang w:val="en-IE"/>
        </w:rPr>
        <w:t xml:space="preserve"> and feed </w:t>
      </w:r>
      <w:r w:rsidR="00872D36" w:rsidRPr="00872D36">
        <w:rPr>
          <w:lang w:val="en-IE"/>
        </w:rPr>
        <w:t>resulting from the processing of unprocessed products. These products may contain ingredients that are necessary for their manufacture or to give them specific characteristics.</w:t>
      </w:r>
      <w:r w:rsidR="002527F9">
        <w:rPr>
          <w:lang w:val="en-IE"/>
        </w:rPr>
        <w:t xml:space="preserve"> Examples of processed products:</w:t>
      </w:r>
      <w:r w:rsidR="0097781F">
        <w:rPr>
          <w:lang w:val="en-IE"/>
        </w:rPr>
        <w:t xml:space="preserve"> </w:t>
      </w:r>
      <w:r w:rsidRPr="00872D36">
        <w:rPr>
          <w:lang w:val="en-IE"/>
        </w:rPr>
        <w:t xml:space="preserve">juice, wine, oil, compote, puree, cooked </w:t>
      </w:r>
      <w:r w:rsidR="00483D9D">
        <w:rPr>
          <w:lang w:val="en-IE"/>
        </w:rPr>
        <w:t>vegetable</w:t>
      </w:r>
      <w:r w:rsidR="006B01A3" w:rsidRPr="006B01A3">
        <w:rPr>
          <w:lang w:val="en-IE"/>
        </w:rPr>
        <w:t>, peeled fruits, husked rice, cereal flour, trimmed head cabbages, canned pulses</w:t>
      </w:r>
      <w:r w:rsidR="00C60493">
        <w:rPr>
          <w:lang w:val="en-IE"/>
        </w:rPr>
        <w:t>, pulp, meal, bran</w:t>
      </w:r>
      <w:r w:rsidR="00483D9D">
        <w:rPr>
          <w:lang w:val="en-IE"/>
        </w:rPr>
        <w:t>.</w:t>
      </w:r>
    </w:p>
    <w:p w14:paraId="7DCA8C35" w14:textId="6D8C5A24" w:rsidR="00E96906" w:rsidRDefault="00C11010" w:rsidP="00C9399A">
      <w:r w:rsidRPr="00B440D8">
        <w:rPr>
          <w:b/>
          <w:lang w:val="en-IE"/>
        </w:rPr>
        <w:lastRenderedPageBreak/>
        <w:t>Processing</w:t>
      </w:r>
      <w:r w:rsidR="005C5376" w:rsidRPr="00B440D8">
        <w:rPr>
          <w:b/>
          <w:lang w:val="en-IE"/>
        </w:rPr>
        <w:t xml:space="preserve"> factor</w:t>
      </w:r>
      <w:r w:rsidR="00E96906" w:rsidRPr="00B440D8">
        <w:rPr>
          <w:b/>
          <w:lang w:val="en-IE"/>
        </w:rPr>
        <w:t xml:space="preserve"> (Pf)</w:t>
      </w:r>
      <w:r w:rsidRPr="00B440D8">
        <w:rPr>
          <w:b/>
          <w:lang w:val="en-IE"/>
        </w:rPr>
        <w:t>:</w:t>
      </w:r>
      <w:r w:rsidR="005C5376" w:rsidRPr="005C5376">
        <w:t xml:space="preserve"> </w:t>
      </w:r>
      <w:r w:rsidR="00AF67FE" w:rsidRPr="00AF67FE">
        <w:t xml:space="preserve">Calculated as </w:t>
      </w:r>
      <w:r w:rsidR="00F93698" w:rsidRPr="00F93698">
        <w:t>the ratio of the residue</w:t>
      </w:r>
      <w:r w:rsidR="00AF67FE">
        <w:t xml:space="preserve"> concentration</w:t>
      </w:r>
      <w:r w:rsidR="00F93698" w:rsidRPr="00F93698">
        <w:t xml:space="preserve"> in the processed product </w:t>
      </w:r>
      <w:r w:rsidR="00014E69">
        <w:t>and</w:t>
      </w:r>
      <w:r w:rsidR="00823894">
        <w:t xml:space="preserve"> </w:t>
      </w:r>
      <w:r w:rsidR="00E85518">
        <w:t xml:space="preserve">the residue </w:t>
      </w:r>
      <w:r w:rsidR="00E85518" w:rsidRPr="00E85518">
        <w:t xml:space="preserve">concentration </w:t>
      </w:r>
      <w:r w:rsidR="00F93698" w:rsidRPr="00F93698">
        <w:t xml:space="preserve">in the </w:t>
      </w:r>
      <w:r w:rsidR="0093364F" w:rsidRPr="0093364F">
        <w:t xml:space="preserve">relevant </w:t>
      </w:r>
      <w:r w:rsidR="006F4692">
        <w:t xml:space="preserve">unprocessed </w:t>
      </w:r>
      <w:r w:rsidR="0093364F" w:rsidRPr="0093364F">
        <w:t xml:space="preserve">product covered by Annex I </w:t>
      </w:r>
      <w:r w:rsidR="006B01A3" w:rsidRPr="006B01A3">
        <w:t>using the residue definition for enforcement given in Regulation (EC) No 396/2005</w:t>
      </w:r>
      <w:r w:rsidR="005303DB">
        <w:t>.</w:t>
      </w:r>
    </w:p>
    <w:p w14:paraId="1402D9D7" w14:textId="46A5A7D4" w:rsidR="00300FE8" w:rsidRDefault="00910199" w:rsidP="0040575E">
      <w:r w:rsidRPr="006B01A3">
        <w:rPr>
          <w:b/>
        </w:rPr>
        <w:t>Fully acceptable processing factor:</w:t>
      </w:r>
      <w:r w:rsidR="008C1285">
        <w:t xml:space="preserve"> </w:t>
      </w:r>
      <w:r w:rsidRPr="00300FE8">
        <w:t>Processing factor which is</w:t>
      </w:r>
      <w:r w:rsidR="00300FE8">
        <w:t xml:space="preserve"> based on a study that complies with the criteria that t</w:t>
      </w:r>
      <w:r w:rsidRPr="00300FE8">
        <w:t xml:space="preserve">he trial is </w:t>
      </w:r>
      <w:r w:rsidR="00300FE8">
        <w:t xml:space="preserve">based on the </w:t>
      </w:r>
      <w:r w:rsidR="00300FE8" w:rsidRPr="00300FE8">
        <w:t>Good Laboratory Practice</w:t>
      </w:r>
      <w:r w:rsidR="00300FE8">
        <w:t xml:space="preserve"> (</w:t>
      </w:r>
      <w:r w:rsidRPr="00300FE8">
        <w:t>GLP</w:t>
      </w:r>
      <w:r w:rsidR="00300FE8">
        <w:t>)</w:t>
      </w:r>
      <w:r w:rsidRPr="00300FE8">
        <w:t xml:space="preserve"> or has been conducted before 1993 (GLP not mandatory), </w:t>
      </w:r>
      <w:r w:rsidR="00FB0893">
        <w:t xml:space="preserve">the </w:t>
      </w:r>
      <w:r w:rsidRPr="00300FE8">
        <w:t xml:space="preserve">analytical method is fit for purpose, </w:t>
      </w:r>
      <w:r w:rsidR="00FB0893">
        <w:t xml:space="preserve">the </w:t>
      </w:r>
      <w:r w:rsidRPr="00300FE8">
        <w:t xml:space="preserve">storage period is covered by storage stability data, the process is considered as representative and the residue in </w:t>
      </w:r>
      <w:r w:rsidR="006F4692">
        <w:t xml:space="preserve">the </w:t>
      </w:r>
      <w:r w:rsidR="0093364F" w:rsidRPr="0093364F">
        <w:t xml:space="preserve">relevant </w:t>
      </w:r>
      <w:r w:rsidR="006F4692">
        <w:t xml:space="preserve">unprocessed </w:t>
      </w:r>
      <w:r w:rsidR="0093364F" w:rsidRPr="0093364F">
        <w:t xml:space="preserve">product covered by Annex I </w:t>
      </w:r>
      <w:r w:rsidRPr="00300FE8">
        <w:t>is ≥LOQ.</w:t>
      </w:r>
      <w:r w:rsidR="00300FE8" w:rsidRPr="00300FE8">
        <w:t xml:space="preserve"> </w:t>
      </w:r>
    </w:p>
    <w:p w14:paraId="573A3D81" w14:textId="55921DCF" w:rsidR="00B5211F" w:rsidRPr="00910199" w:rsidRDefault="006B01A3" w:rsidP="00910199">
      <w:pPr>
        <w:rPr>
          <w:b/>
        </w:rPr>
      </w:pPr>
      <w:r w:rsidRPr="006B01A3">
        <w:rPr>
          <w:b/>
        </w:rPr>
        <w:t>Indicative processing factor:</w:t>
      </w:r>
      <w:r w:rsidR="00300FE8">
        <w:rPr>
          <w:b/>
        </w:rPr>
        <w:t xml:space="preserve"> </w:t>
      </w:r>
      <w:r w:rsidR="00B5211F" w:rsidRPr="00B5211F">
        <w:t xml:space="preserve">Processing factor which is based on a study that complies with the </w:t>
      </w:r>
      <w:r w:rsidR="00B5211F">
        <w:t xml:space="preserve">same </w:t>
      </w:r>
      <w:r w:rsidR="00B5211F" w:rsidRPr="00B5211F">
        <w:t>criteria</w:t>
      </w:r>
      <w:r w:rsidR="00B5211F">
        <w:t xml:space="preserve"> as</w:t>
      </w:r>
      <w:r w:rsidR="00B5211F" w:rsidRPr="00B5211F">
        <w:t xml:space="preserve"> </w:t>
      </w:r>
      <w:r w:rsidR="00FB0893">
        <w:t xml:space="preserve">for a </w:t>
      </w:r>
      <w:r w:rsidR="00B5211F">
        <w:t>f</w:t>
      </w:r>
      <w:r w:rsidR="00B5211F" w:rsidRPr="00B5211F">
        <w:t>ully acceptable processing factor</w:t>
      </w:r>
      <w:r w:rsidR="00B5211F">
        <w:t xml:space="preserve"> except </w:t>
      </w:r>
      <w:r w:rsidR="00FB0893">
        <w:t xml:space="preserve">that </w:t>
      </w:r>
      <w:r w:rsidR="00B5211F">
        <w:t>information on storage stability was not available</w:t>
      </w:r>
      <w:r w:rsidR="001B7119">
        <w:t>.</w:t>
      </w:r>
    </w:p>
    <w:p w14:paraId="423332E9" w14:textId="1372B257" w:rsidR="006512CA" w:rsidRPr="006512CA" w:rsidRDefault="001D79C7" w:rsidP="00C9399A">
      <w:pPr>
        <w:rPr>
          <w:lang w:val="en-IE"/>
        </w:rPr>
      </w:pPr>
      <w:r>
        <w:rPr>
          <w:b/>
          <w:lang w:val="en-IE"/>
        </w:rPr>
        <w:t>Median processing factor</w:t>
      </w:r>
      <w:r w:rsidR="005A1941">
        <w:rPr>
          <w:b/>
          <w:lang w:val="en-IE"/>
        </w:rPr>
        <w:t xml:space="preserve">: </w:t>
      </w:r>
      <w:r w:rsidR="004D5683">
        <w:rPr>
          <w:lang w:val="en-IE"/>
        </w:rPr>
        <w:t>T</w:t>
      </w:r>
      <w:r w:rsidR="004D5683" w:rsidRPr="004D5683">
        <w:rPr>
          <w:lang w:val="en-IE"/>
        </w:rPr>
        <w:t>he median value of</w:t>
      </w:r>
      <w:r w:rsidR="00002F69">
        <w:rPr>
          <w:lang w:val="en-IE"/>
        </w:rPr>
        <w:t xml:space="preserve"> a dataset of</w:t>
      </w:r>
      <w:r w:rsidR="004D5683" w:rsidRPr="004D5683">
        <w:rPr>
          <w:lang w:val="en-IE"/>
        </w:rPr>
        <w:t xml:space="preserve"> </w:t>
      </w:r>
      <w:r w:rsidR="001D47E6">
        <w:rPr>
          <w:lang w:val="en-IE"/>
        </w:rPr>
        <w:t xml:space="preserve">indicative or fully acceptable </w:t>
      </w:r>
      <w:r w:rsidR="004D5683" w:rsidRPr="004D5683">
        <w:rPr>
          <w:lang w:val="en-IE"/>
        </w:rPr>
        <w:t>processing factors for a given</w:t>
      </w:r>
      <w:r w:rsidR="004D5683">
        <w:rPr>
          <w:lang w:val="en-IE"/>
        </w:rPr>
        <w:t xml:space="preserve"> </w:t>
      </w:r>
      <w:r w:rsidR="004D5683" w:rsidRPr="004D5683">
        <w:rPr>
          <w:lang w:val="en-IE"/>
        </w:rPr>
        <w:t>process.</w:t>
      </w:r>
      <w:r w:rsidR="001D47E6" w:rsidRPr="001D47E6">
        <w:rPr>
          <w:lang w:val="en-IE"/>
        </w:rPr>
        <w:t xml:space="preserve"> </w:t>
      </w:r>
      <w:r w:rsidR="00002F69">
        <w:rPr>
          <w:lang w:val="en-IE"/>
        </w:rPr>
        <w:t>An a</w:t>
      </w:r>
      <w:r w:rsidR="006512CA">
        <w:rPr>
          <w:lang w:val="en-IE"/>
        </w:rPr>
        <w:t xml:space="preserve">cceptable median Pf </w:t>
      </w:r>
      <w:r w:rsidR="0034567E">
        <w:rPr>
          <w:lang w:val="en-IE"/>
        </w:rPr>
        <w:t xml:space="preserve">should be </w:t>
      </w:r>
      <w:r w:rsidR="006512CA" w:rsidRPr="006512CA">
        <w:rPr>
          <w:lang w:val="en-IE"/>
        </w:rPr>
        <w:t xml:space="preserve">based on three </w:t>
      </w:r>
      <w:r w:rsidR="006512CA">
        <w:rPr>
          <w:lang w:val="en-IE"/>
        </w:rPr>
        <w:t xml:space="preserve">or more </w:t>
      </w:r>
      <w:r w:rsidR="006F4692">
        <w:rPr>
          <w:lang w:val="en-IE"/>
        </w:rPr>
        <w:t xml:space="preserve">fully </w:t>
      </w:r>
      <w:r w:rsidR="006512CA">
        <w:rPr>
          <w:lang w:val="en-IE"/>
        </w:rPr>
        <w:t>acceptable individual Pf</w:t>
      </w:r>
      <w:r w:rsidR="006512CA" w:rsidRPr="006512CA">
        <w:rPr>
          <w:lang w:val="en-IE"/>
        </w:rPr>
        <w:t xml:space="preserve"> values for one combination of active substance, process and commodity or</w:t>
      </w:r>
      <w:r w:rsidR="006512CA">
        <w:rPr>
          <w:lang w:val="en-IE"/>
        </w:rPr>
        <w:t xml:space="preserve"> on two </w:t>
      </w:r>
      <w:r w:rsidR="006F4692">
        <w:rPr>
          <w:lang w:val="en-IE"/>
        </w:rPr>
        <w:t xml:space="preserve">fully </w:t>
      </w:r>
      <w:r w:rsidR="006512CA">
        <w:rPr>
          <w:lang w:val="en-IE"/>
        </w:rPr>
        <w:t>acceptable individual Pf</w:t>
      </w:r>
      <w:r w:rsidR="006512CA" w:rsidRPr="006512CA">
        <w:rPr>
          <w:lang w:val="en-IE"/>
        </w:rPr>
        <w:t xml:space="preserve"> values </w:t>
      </w:r>
      <w:r w:rsidR="004345D3" w:rsidRPr="006512CA">
        <w:rPr>
          <w:lang w:val="en-IE"/>
        </w:rPr>
        <w:t xml:space="preserve">for one combination of active substance, process and commodity </w:t>
      </w:r>
      <w:r w:rsidR="006512CA" w:rsidRPr="006512CA">
        <w:rPr>
          <w:lang w:val="en-IE"/>
        </w:rPr>
        <w:t xml:space="preserve">with a variation of less than 50%. </w:t>
      </w:r>
    </w:p>
    <w:p w14:paraId="5788DA31" w14:textId="67AB8A6E" w:rsidR="00E56EC0" w:rsidRDefault="0023069C" w:rsidP="00B70221">
      <w:pPr>
        <w:rPr>
          <w:lang w:val="en-IE"/>
        </w:rPr>
      </w:pPr>
      <w:r w:rsidRPr="00955A8F">
        <w:rPr>
          <w:b/>
          <w:lang w:val="en-IE"/>
        </w:rPr>
        <w:t>Composite food</w:t>
      </w:r>
      <w:r w:rsidR="00413413" w:rsidRPr="00955A8F">
        <w:rPr>
          <w:b/>
          <w:lang w:val="en-IE"/>
        </w:rPr>
        <w:t>:</w:t>
      </w:r>
      <w:r w:rsidR="005303DB" w:rsidRPr="005303DB">
        <w:t xml:space="preserve"> </w:t>
      </w:r>
      <w:r w:rsidR="00D7799E" w:rsidRPr="00D7799E">
        <w:rPr>
          <w:lang w:val="en-IE"/>
        </w:rPr>
        <w:t xml:space="preserve">food containing more than one ingredient </w:t>
      </w:r>
      <w:r w:rsidR="00FB0529">
        <w:rPr>
          <w:lang w:val="en-IE"/>
        </w:rPr>
        <w:t xml:space="preserve">and at least one ingredient </w:t>
      </w:r>
      <w:r w:rsidR="00D7799E" w:rsidRPr="00D7799E">
        <w:rPr>
          <w:lang w:val="en-IE"/>
        </w:rPr>
        <w:t xml:space="preserve">derived from </w:t>
      </w:r>
      <w:r w:rsidR="00FB0529">
        <w:rPr>
          <w:lang w:val="en-IE"/>
        </w:rPr>
        <w:t>an</w:t>
      </w:r>
      <w:r w:rsidR="00FB0529" w:rsidRPr="00D7799E">
        <w:rPr>
          <w:lang w:val="en-IE"/>
        </w:rPr>
        <w:t xml:space="preserve"> </w:t>
      </w:r>
      <w:r w:rsidR="00D7799E" w:rsidRPr="00D7799E">
        <w:rPr>
          <w:lang w:val="en-IE"/>
        </w:rPr>
        <w:t>agricultural product (plant and/or animal origin)</w:t>
      </w:r>
      <w:r w:rsidR="00014E69" w:rsidRPr="00014E69">
        <w:t xml:space="preserve"> </w:t>
      </w:r>
      <w:r w:rsidR="00014E69" w:rsidRPr="00014E69">
        <w:rPr>
          <w:lang w:val="en-IE"/>
        </w:rPr>
        <w:t>processed and/or unprocessed in different amounts</w:t>
      </w:r>
      <w:r w:rsidR="00430624">
        <w:rPr>
          <w:lang w:val="en-IE"/>
        </w:rPr>
        <w:t>.</w:t>
      </w:r>
      <w:r w:rsidR="005C3DB3">
        <w:rPr>
          <w:lang w:val="en-IE"/>
        </w:rPr>
        <w:t xml:space="preserve"> </w:t>
      </w:r>
    </w:p>
    <w:p w14:paraId="67142005" w14:textId="77777777" w:rsidR="00DF5554" w:rsidRPr="00014E69" w:rsidRDefault="00DF5554" w:rsidP="00B70221">
      <w:pPr>
        <w:rPr>
          <w:rFonts w:ascii="Times New Roman" w:eastAsia="Times New Roman" w:hAnsi="Times New Roman" w:cs="Times New Roman"/>
          <w:b/>
          <w:caps/>
          <w:sz w:val="24"/>
          <w:szCs w:val="20"/>
          <w:lang w:eastAsia="en-GB"/>
        </w:rPr>
      </w:pPr>
    </w:p>
    <w:p w14:paraId="0006E819" w14:textId="027E50DF" w:rsidR="00E56EC0" w:rsidRDefault="006A09DB" w:rsidP="00B70221">
      <w:pPr>
        <w:pStyle w:val="ListParagraph"/>
        <w:numPr>
          <w:ilvl w:val="0"/>
          <w:numId w:val="6"/>
        </w:numPr>
        <w:spacing w:after="100" w:afterAutospacing="1"/>
        <w:rPr>
          <w:rFonts w:ascii="Times New Roman" w:eastAsia="Times New Roman" w:hAnsi="Times New Roman" w:cs="Times New Roman"/>
          <w:b/>
          <w:caps/>
          <w:sz w:val="24"/>
          <w:szCs w:val="20"/>
          <w:lang w:val="en-IE" w:eastAsia="en-GB"/>
        </w:rPr>
      </w:pPr>
      <w:r>
        <w:rPr>
          <w:rFonts w:ascii="Times New Roman" w:eastAsia="Times New Roman" w:hAnsi="Times New Roman" w:cs="Times New Roman"/>
          <w:b/>
          <w:caps/>
          <w:sz w:val="24"/>
          <w:szCs w:val="20"/>
          <w:lang w:val="en-IE" w:eastAsia="en-GB"/>
        </w:rPr>
        <w:t xml:space="preserve">General principles for </w:t>
      </w:r>
      <w:r w:rsidR="00E56EC0">
        <w:rPr>
          <w:rFonts w:ascii="Times New Roman" w:eastAsia="Times New Roman" w:hAnsi="Times New Roman" w:cs="Times New Roman"/>
          <w:b/>
          <w:caps/>
          <w:sz w:val="24"/>
          <w:szCs w:val="20"/>
          <w:lang w:val="en-IE" w:eastAsia="en-GB"/>
        </w:rPr>
        <w:t>Implementation by Member States in their enforc</w:t>
      </w:r>
      <w:r w:rsidR="008F4D80">
        <w:rPr>
          <w:rFonts w:ascii="Times New Roman" w:eastAsia="Times New Roman" w:hAnsi="Times New Roman" w:cs="Times New Roman"/>
          <w:b/>
          <w:caps/>
          <w:sz w:val="24"/>
          <w:szCs w:val="20"/>
          <w:lang w:val="en-IE" w:eastAsia="en-GB"/>
        </w:rPr>
        <w:t>e</w:t>
      </w:r>
      <w:r w:rsidR="00E56EC0">
        <w:rPr>
          <w:rFonts w:ascii="Times New Roman" w:eastAsia="Times New Roman" w:hAnsi="Times New Roman" w:cs="Times New Roman"/>
          <w:b/>
          <w:caps/>
          <w:sz w:val="24"/>
          <w:szCs w:val="20"/>
          <w:lang w:val="en-IE" w:eastAsia="en-GB"/>
        </w:rPr>
        <w:t>ment activities</w:t>
      </w:r>
    </w:p>
    <w:p w14:paraId="02CF57F6" w14:textId="4177E343" w:rsidR="00CC4AA4" w:rsidRDefault="00CC4AA4" w:rsidP="00F85DC2">
      <w:pPr>
        <w:rPr>
          <w:b/>
          <w:lang w:val="en-IE"/>
        </w:rPr>
      </w:pPr>
      <w:r>
        <w:rPr>
          <w:b/>
          <w:lang w:val="en-IE"/>
        </w:rPr>
        <w:t>Calculation of a processing factor (see also Chapter 7.1):</w:t>
      </w:r>
    </w:p>
    <w:p w14:paraId="3C5FD8A9" w14:textId="77777777" w:rsidR="00CC4AA4" w:rsidRDefault="00CC4AA4" w:rsidP="00CC4AA4">
      <w:pPr>
        <w:spacing w:before="120" w:after="120"/>
        <w:jc w:val="both"/>
        <w:rPr>
          <w:rFonts w:eastAsiaTheme="minorEastAsia"/>
          <w:lang w:val="en-IE"/>
        </w:rPr>
      </w:pPr>
      <w:r w:rsidRPr="00AF529D">
        <w:rPr>
          <w:rFonts w:eastAsiaTheme="minorEastAsia"/>
          <w:noProof/>
          <w:sz w:val="18"/>
          <w:szCs w:val="18"/>
        </w:rPr>
        <mc:AlternateContent>
          <mc:Choice Requires="wps">
            <w:drawing>
              <wp:anchor distT="45720" distB="45720" distL="114300" distR="114300" simplePos="0" relativeHeight="251661312" behindDoc="0" locked="0" layoutInCell="1" allowOverlap="1" wp14:anchorId="2D5F1673" wp14:editId="33ED065B">
                <wp:simplePos x="0" y="0"/>
                <wp:positionH relativeFrom="column">
                  <wp:posOffset>-181610</wp:posOffset>
                </wp:positionH>
                <wp:positionV relativeFrom="paragraph">
                  <wp:posOffset>625475</wp:posOffset>
                </wp:positionV>
                <wp:extent cx="6797040" cy="568960"/>
                <wp:effectExtent l="0" t="0" r="22860"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568960"/>
                        </a:xfrm>
                        <a:prstGeom prst="rect">
                          <a:avLst/>
                        </a:prstGeom>
                        <a:solidFill>
                          <a:srgbClr val="FFFFFF"/>
                        </a:solidFill>
                        <a:ln w="9525">
                          <a:solidFill>
                            <a:srgbClr val="000000"/>
                          </a:solidFill>
                          <a:miter lim="800000"/>
                          <a:headEnd/>
                          <a:tailEnd/>
                        </a:ln>
                      </wps:spPr>
                      <wps:txbx>
                        <w:txbxContent>
                          <w:p w14:paraId="660944B1" w14:textId="2CF48068" w:rsidR="00CC4AA4" w:rsidRPr="006C6ED1" w:rsidRDefault="00CC4AA4" w:rsidP="00CC4AA4">
                            <w:pPr>
                              <w:rPr>
                                <w:rFonts w:eastAsia="Times New Roman"/>
                                <w:b/>
                                <w:i/>
                                <w:sz w:val="18"/>
                                <w:szCs w:val="18"/>
                                <w:lang w:val="en-IE" w:eastAsia="en-GB"/>
                              </w:rPr>
                            </w:pPr>
                            <m:oMathPara>
                              <m:oMath>
                                <m:r>
                                  <m:rPr>
                                    <m:sty m:val="p"/>
                                  </m:rPr>
                                  <w:rPr>
                                    <w:rFonts w:ascii="Cambria Math" w:eastAsiaTheme="minorEastAsia" w:hAnsi="Cambria Math"/>
                                    <w:sz w:val="18"/>
                                    <w:szCs w:val="18"/>
                                    <w:lang w:val="en-IE"/>
                                  </w:rPr>
                                  <w:br/>
                                </m:r>
                              </m:oMath>
                              <m:oMath>
                                <m:r>
                                  <m:rPr>
                                    <m:sty m:val="bi"/>
                                  </m:rPr>
                                  <w:rPr>
                                    <w:rFonts w:ascii="Cambria Math" w:eastAsiaTheme="minorEastAsia" w:hAnsi="Cambria Math"/>
                                    <w:sz w:val="18"/>
                                    <w:szCs w:val="18"/>
                                    <w:lang w:val="en-IE"/>
                                  </w:rPr>
                                  <m:t xml:space="preserve">Derived MRL </m:t>
                                </m:r>
                                <m:r>
                                  <w:rPr>
                                    <w:rFonts w:ascii="Cambria Math" w:eastAsiaTheme="minorEastAsia" w:hAnsi="Cambria Math"/>
                                    <w:sz w:val="18"/>
                                    <w:szCs w:val="18"/>
                                    <w:lang w:val="en-IE"/>
                                  </w:rPr>
                                  <m:t>for</m:t>
                                </m:r>
                                <m:r>
                                  <m:rPr>
                                    <m:sty m:val="bi"/>
                                  </m:rPr>
                                  <w:rPr>
                                    <w:rFonts w:ascii="Cambria Math" w:eastAsiaTheme="minorEastAsia" w:hAnsi="Cambria Math"/>
                                    <w:sz w:val="18"/>
                                    <w:szCs w:val="18"/>
                                    <w:lang w:val="en-IE"/>
                                  </w:rPr>
                                  <m:t xml:space="preserve"> </m:t>
                                </m:r>
                                <m:r>
                                  <w:rPr>
                                    <w:rFonts w:ascii="Cambria Math" w:eastAsiaTheme="minorEastAsia" w:hAnsi="Cambria Math"/>
                                    <w:sz w:val="18"/>
                                    <w:szCs w:val="18"/>
                                    <w:lang w:val="en-IE"/>
                                  </w:rPr>
                                  <m:t>processed product (mg/kg)=Pf* MRL of the relevant unprocessed product covered by Annex I (mg/kg)</m:t>
                                </m:r>
                                <m:r>
                                  <m:rPr>
                                    <m:sty m:val="p"/>
                                  </m:rPr>
                                  <w:rPr>
                                    <w:rStyle w:val="CommentReference"/>
                                    <w:rFonts w:ascii="Cambria Math" w:hAnsi="Cambria Math"/>
                                  </w:rPr>
                                  <w:br/>
                                </m:r>
                              </m:oMath>
                            </m:oMathPara>
                          </w:p>
                          <w:p w14:paraId="0C9D20CE" w14:textId="77777777" w:rsidR="00CC4AA4" w:rsidRDefault="00CC4AA4" w:rsidP="00CC4A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5F1673" id="_x0000_t202" coordsize="21600,21600" o:spt="202" path="m,l,21600r21600,l21600,xe">
                <v:stroke joinstyle="miter"/>
                <v:path gradientshapeok="t" o:connecttype="rect"/>
              </v:shapetype>
              <v:shape id="Text Box 2" o:spid="_x0000_s1026" type="#_x0000_t202" style="position:absolute;left:0;text-align:left;margin-left:-14.3pt;margin-top:49.25pt;width:535.2pt;height:4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">
                <v:textbox>
                  <w:txbxContent>
                    <w:p w14:paraId="660944B1" w14:textId="2CF48068" w:rsidR="00CC4AA4" w:rsidRPr="006C6ED1" w:rsidRDefault="00CC4AA4" w:rsidP="00CC4AA4">
                      <w:pPr>
                        <w:rPr>
                          <w:rFonts w:eastAsia="Times New Roman"/>
                          <w:b/>
                          <w:i/>
                          <w:sz w:val="18"/>
                          <w:szCs w:val="18"/>
                          <w:lang w:val="en-IE" w:eastAsia="en-GB"/>
                        </w:rPr>
                      </w:pPr>
                      <m:oMathPara>
                        <m:oMath>
                          <m:r>
                            <w:rPr>
                              <w:rFonts w:ascii="Cambria Math" w:eastAsiaTheme="minorEastAsia" w:hAnsi="Cambria Math"/>
                              <w:sz w:val="18"/>
                              <w:szCs w:val="18"/>
                              <w:lang w:val="en-IE"/>
                            </w:rPr>
                            <w:br/>
                          </m:r>
                        </m:oMath>
                        <m:oMath>
                          <m:r>
                            <m:rPr>
                              <m:sty m:val="bi"/>
                            </m:rPr>
                            <w:rPr>
                              <w:rFonts w:ascii="Cambria Math" w:eastAsiaTheme="minorEastAsia" w:hAnsi="Cambria Math"/>
                              <w:sz w:val="18"/>
                              <w:szCs w:val="18"/>
                              <w:lang w:val="en-IE"/>
                            </w:rPr>
                            <m:t xml:space="preserve">Derived MRL </m:t>
                          </m:r>
                          <m:r>
                            <w:rPr>
                              <w:rFonts w:ascii="Cambria Math" w:eastAsiaTheme="minorEastAsia" w:hAnsi="Cambria Math"/>
                              <w:sz w:val="18"/>
                              <w:szCs w:val="18"/>
                              <w:lang w:val="en-IE"/>
                            </w:rPr>
                            <m:t>for</m:t>
                          </m:r>
                          <m:r>
                            <m:rPr>
                              <m:sty m:val="bi"/>
                            </m:rPr>
                            <w:rPr>
                              <w:rFonts w:ascii="Cambria Math" w:eastAsiaTheme="minorEastAsia" w:hAnsi="Cambria Math"/>
                              <w:sz w:val="18"/>
                              <w:szCs w:val="18"/>
                              <w:lang w:val="en-IE"/>
                            </w:rPr>
                            <m:t xml:space="preserve"> </m:t>
                          </m:r>
                          <m:r>
                            <w:rPr>
                              <w:rFonts w:ascii="Cambria Math" w:eastAsiaTheme="minorEastAsia" w:hAnsi="Cambria Math"/>
                              <w:sz w:val="18"/>
                              <w:szCs w:val="18"/>
                              <w:lang w:val="en-IE"/>
                            </w:rPr>
                            <m:t>processed product (mg/kg)=Pf* MRL of the relevant unprocessed product covered by Annex I (mg/kg)</m:t>
                          </m:r>
                          <m:r>
                            <w:rPr>
                              <w:rStyle w:val="CommentReference"/>
                              <w:rFonts w:ascii="Cambria Math" w:hAnsi="Cambria Math"/>
                            </w:rPr>
                            <w:br/>
                          </m:r>
                        </m:oMath>
                      </m:oMathPara>
                    </w:p>
                    <w:p w14:paraId="0C9D20CE" w14:textId="77777777" w:rsidR="00CC4AA4" w:rsidRDefault="00CC4AA4" w:rsidP="00CC4AA4"/>
                  </w:txbxContent>
                </v:textbox>
                <w10:wrap type="square"/>
              </v:shape>
            </w:pict>
          </mc:Fallback>
        </mc:AlternateContent>
      </w:r>
      <w:r w:rsidRPr="536FF9DF">
        <w:rPr>
          <w:rFonts w:eastAsiaTheme="minorEastAsia"/>
          <w:lang w:val="en-IE"/>
        </w:rPr>
        <w:t xml:space="preserve">In order to assess compliance with an MRL, </w:t>
      </w:r>
      <w:r w:rsidRPr="005C2432">
        <w:rPr>
          <w:rFonts w:eastAsiaTheme="minorEastAsia"/>
          <w:lang w:val="en-IE"/>
        </w:rPr>
        <w:t>the</w:t>
      </w:r>
      <w:r>
        <w:rPr>
          <w:rFonts w:eastAsiaTheme="minorEastAsia"/>
          <w:lang w:val="en-IE"/>
        </w:rPr>
        <w:t xml:space="preserve"> derived MRL for </w:t>
      </w:r>
      <w:r w:rsidRPr="005C2432">
        <w:rPr>
          <w:rFonts w:eastAsiaTheme="minorEastAsia"/>
          <w:lang w:val="en-IE"/>
        </w:rPr>
        <w:t xml:space="preserve">the processed </w:t>
      </w:r>
      <w:r>
        <w:rPr>
          <w:rFonts w:eastAsiaTheme="minorEastAsia"/>
          <w:lang w:val="en-IE"/>
        </w:rPr>
        <w:t>product</w:t>
      </w:r>
      <w:r w:rsidRPr="005C2432">
        <w:rPr>
          <w:rFonts w:eastAsiaTheme="minorEastAsia"/>
          <w:lang w:val="en-IE"/>
        </w:rPr>
        <w:t xml:space="preserve"> is obtained by multiplying the processing factor (Pf) </w:t>
      </w:r>
      <w:r>
        <w:rPr>
          <w:rFonts w:eastAsiaTheme="minorEastAsia"/>
          <w:lang w:val="en-IE"/>
        </w:rPr>
        <w:t xml:space="preserve">with the MRL of the </w:t>
      </w:r>
      <w:r w:rsidRPr="0093364F">
        <w:rPr>
          <w:rFonts w:eastAsiaTheme="minorEastAsia"/>
          <w:lang w:val="en-IE"/>
        </w:rPr>
        <w:t>rele</w:t>
      </w:r>
      <w:r>
        <w:rPr>
          <w:rFonts w:eastAsiaTheme="minorEastAsia"/>
          <w:lang w:val="en-IE"/>
        </w:rPr>
        <w:t>vant unprocessed product covered by Annex I</w:t>
      </w:r>
      <w:r w:rsidRPr="005C2432">
        <w:rPr>
          <w:rFonts w:eastAsiaTheme="minorEastAsia"/>
          <w:lang w:val="en-IE"/>
        </w:rPr>
        <w:t>:</w:t>
      </w:r>
      <w:r w:rsidRPr="536FF9DF">
        <w:rPr>
          <w:rFonts w:eastAsiaTheme="minorEastAsia"/>
          <w:lang w:val="en-IE"/>
        </w:rPr>
        <w:t xml:space="preserve"> </w:t>
      </w:r>
    </w:p>
    <w:p w14:paraId="4407B293" w14:textId="77777777" w:rsidR="00CC4AA4" w:rsidRDefault="00CC4AA4" w:rsidP="00CC4AA4">
      <w:pPr>
        <w:spacing w:before="120" w:after="120"/>
        <w:jc w:val="both"/>
        <w:rPr>
          <w:rFonts w:eastAsiaTheme="minorEastAsia"/>
          <w:lang w:val="en-IE"/>
        </w:rPr>
      </w:pPr>
      <w:r w:rsidRPr="005F77B4">
        <w:rPr>
          <w:rFonts w:eastAsiaTheme="minorEastAsia"/>
          <w:lang w:val="en-IE"/>
        </w:rPr>
        <w:t>Pf is &gt; 1: Residues concentrated in the processed product.</w:t>
      </w:r>
    </w:p>
    <w:p w14:paraId="765A8073" w14:textId="77777777" w:rsidR="00CC4AA4" w:rsidRDefault="00CC4AA4" w:rsidP="00CC4AA4">
      <w:pPr>
        <w:spacing w:before="120" w:after="120"/>
        <w:jc w:val="both"/>
        <w:rPr>
          <w:rFonts w:eastAsiaTheme="minorEastAsia"/>
          <w:lang w:val="en-IE"/>
        </w:rPr>
      </w:pPr>
      <w:r>
        <w:rPr>
          <w:rFonts w:eastAsiaTheme="minorEastAsia"/>
          <w:lang w:val="en-IE"/>
        </w:rPr>
        <w:t>Pf is &gt;1: Residues declined in the processed product.</w:t>
      </w:r>
    </w:p>
    <w:p w14:paraId="08FEADD2" w14:textId="77777777" w:rsidR="00CC4AA4" w:rsidRPr="005F77B4" w:rsidRDefault="00CC4AA4" w:rsidP="00CC4AA4">
      <w:pPr>
        <w:spacing w:before="120" w:after="120"/>
        <w:jc w:val="both"/>
        <w:rPr>
          <w:rFonts w:eastAsiaTheme="minorEastAsia"/>
          <w:lang w:val="en-IE"/>
        </w:rPr>
      </w:pPr>
      <w:r>
        <w:rPr>
          <w:rFonts w:eastAsiaTheme="minorEastAsia"/>
          <w:lang w:val="en-IE"/>
        </w:rPr>
        <w:t>Pf = 1: Processing did not result in a change of residue concentrations.</w:t>
      </w:r>
    </w:p>
    <w:p w14:paraId="54FB7873" w14:textId="256B84CE" w:rsidR="00CC4AA4" w:rsidRDefault="00CC4AA4" w:rsidP="00F85DC2">
      <w:pPr>
        <w:rPr>
          <w:b/>
          <w:lang w:val="en-IE"/>
        </w:rPr>
      </w:pPr>
    </w:p>
    <w:p w14:paraId="28D29DD7" w14:textId="77777777" w:rsidR="003C7E4E" w:rsidRDefault="003C7E4E" w:rsidP="00F85DC2">
      <w:pPr>
        <w:rPr>
          <w:b/>
          <w:lang w:val="en-IE"/>
        </w:rPr>
      </w:pPr>
    </w:p>
    <w:p w14:paraId="32D36C05" w14:textId="11D89BC4" w:rsidR="000727A7" w:rsidRPr="000727A7" w:rsidRDefault="000727A7" w:rsidP="000727A7">
      <w:pPr>
        <w:rPr>
          <w:b/>
          <w:lang w:val="en-IE"/>
        </w:rPr>
      </w:pPr>
      <w:r w:rsidRPr="000727A7">
        <w:rPr>
          <w:b/>
          <w:lang w:val="en-IE"/>
        </w:rPr>
        <w:lastRenderedPageBreak/>
        <w:t>Calculation of an MRL applicable to a composite food made of different ingredients</w:t>
      </w:r>
    </w:p>
    <w:p w14:paraId="2CA0AF7C" w14:textId="77777777" w:rsidR="006C6ED1" w:rsidRDefault="006C6ED1" w:rsidP="000727A7">
      <w:pPr>
        <w:rPr>
          <w:b/>
          <w:lang w:val="en-IE"/>
        </w:rPr>
      </w:pPr>
      <w:r w:rsidRPr="00AF529D">
        <w:rPr>
          <w:rFonts w:eastAsiaTheme="minorEastAsia"/>
          <w:noProof/>
          <w:sz w:val="18"/>
          <w:szCs w:val="18"/>
        </w:rPr>
        <mc:AlternateContent>
          <mc:Choice Requires="wps">
            <w:drawing>
              <wp:inline distT="0" distB="0" distL="0" distR="0" wp14:anchorId="11B6452F" wp14:editId="1A82FA0A">
                <wp:extent cx="5822399" cy="1035050"/>
                <wp:effectExtent l="0" t="0" r="26035" b="127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99" cy="1035050"/>
                        </a:xfrm>
                        <a:prstGeom prst="rect">
                          <a:avLst/>
                        </a:prstGeom>
                        <a:solidFill>
                          <a:srgbClr val="FFFFFF"/>
                        </a:solidFill>
                        <a:ln w="9525">
                          <a:solidFill>
                            <a:srgbClr val="000000"/>
                          </a:solidFill>
                          <a:miter lim="800000"/>
                          <a:headEnd/>
                          <a:tailEnd/>
                        </a:ln>
                      </wps:spPr>
                      <wps:txbx>
                        <w:txbxContent>
                          <w:p w14:paraId="43A4E24B" w14:textId="627181CF" w:rsidR="000727A7" w:rsidRPr="006C6ED1" w:rsidRDefault="006C6ED1" w:rsidP="000727A7">
                            <w:pPr>
                              <w:rPr>
                                <w:rFonts w:eastAsia="Times New Roman"/>
                                <w:b/>
                                <w:i/>
                                <w:sz w:val="18"/>
                                <w:szCs w:val="18"/>
                                <w:lang w:val="en-IE" w:eastAsia="en-GB"/>
                              </w:rPr>
                            </w:pPr>
                            <m:oMathPara>
                              <m:oMath>
                                <m:r>
                                  <m:rPr>
                                    <m:sty m:val="bi"/>
                                  </m:rPr>
                                  <w:rPr>
                                    <w:rFonts w:ascii="Cambria Math" w:eastAsiaTheme="minorEastAsia" w:hAnsi="Cambria Math"/>
                                    <w:sz w:val="18"/>
                                    <w:szCs w:val="18"/>
                                    <w:lang w:val="en-IE"/>
                                  </w:rPr>
                                  <m:t xml:space="preserve">Derived MRL </m:t>
                                </m:r>
                                <m:r>
                                  <w:rPr>
                                    <w:rFonts w:ascii="Cambria Math" w:eastAsiaTheme="minorEastAsia" w:hAnsi="Cambria Math"/>
                                    <w:sz w:val="18"/>
                                    <w:szCs w:val="18"/>
                                    <w:lang w:val="en-IE"/>
                                  </w:rPr>
                                  <m:t>for</m:t>
                                </m:r>
                                <m:r>
                                  <m:rPr>
                                    <m:sty m:val="bi"/>
                                  </m:rPr>
                                  <w:rPr>
                                    <w:rFonts w:ascii="Cambria Math" w:eastAsiaTheme="minorEastAsia" w:hAnsi="Cambria Math"/>
                                    <w:sz w:val="18"/>
                                    <w:szCs w:val="18"/>
                                    <w:lang w:val="en-IE"/>
                                  </w:rPr>
                                  <m:t xml:space="preserve"> </m:t>
                                </m:r>
                                <m:r>
                                  <w:rPr>
                                    <w:rFonts w:ascii="Cambria Math" w:eastAsiaTheme="minorEastAsia" w:hAnsi="Cambria Math"/>
                                    <w:sz w:val="18"/>
                                    <w:szCs w:val="18"/>
                                    <w:lang w:val="en-IE"/>
                                  </w:rPr>
                                  <m:t>composite food consisting unprocessed product A and B covered by Annex I (mg/kg)=(MRL of the relevant unprocessed product A covered by Annex I (mg/kg)*percentage of the relevant unprocessed product A covered by Annex I )+(MRL of the relevant unprocessed product B covered by Annex I (mg/kg)*percentage of the relevant unprocessed product B covered by Annex I)</m:t>
                                </m:r>
                              </m:oMath>
                            </m:oMathPara>
                          </w:p>
                          <w:p w14:paraId="278A2639" w14:textId="77777777" w:rsidR="000727A7" w:rsidRDefault="000727A7" w:rsidP="000727A7"/>
                        </w:txbxContent>
                      </wps:txbx>
                      <wps:bodyPr rot="0" vert="horz" wrap="square" lIns="91440" tIns="45720" rIns="91440" bIns="45720" anchor="t" anchorCtr="0">
                        <a:noAutofit/>
                      </wps:bodyPr>
                    </wps:wsp>
                  </a:graphicData>
                </a:graphic>
              </wp:inline>
            </w:drawing>
          </mc:Choice>
          <mc:Fallback>
            <w:pict>
              <v:shape w14:anchorId="11B6452F" id="Text Box 3" o:spid="_x0000_s1027" type="#_x0000_t202" style="width:458.45pt;height: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B7RJwIAAEw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">
                <v:textbox>
                  <w:txbxContent>
                    <w:p w14:paraId="43A4E24B" w14:textId="627181CF" w:rsidR="000727A7" w:rsidRPr="006C6ED1" w:rsidRDefault="006C6ED1" w:rsidP="000727A7">
                      <w:pPr>
                        <w:rPr>
                          <w:rFonts w:eastAsia="Times New Roman"/>
                          <w:b/>
                          <w:i/>
                          <w:sz w:val="18"/>
                          <w:szCs w:val="18"/>
                          <w:lang w:val="en-IE" w:eastAsia="en-GB"/>
                        </w:rPr>
                      </w:pPr>
                      <m:oMathPara>
                        <m:oMath>
                          <m:r>
                            <m:rPr>
                              <m:sty m:val="bi"/>
                            </m:rPr>
                            <w:rPr>
                              <w:rFonts w:ascii="Cambria Math" w:eastAsiaTheme="minorEastAsia" w:hAnsi="Cambria Math"/>
                              <w:sz w:val="18"/>
                              <w:szCs w:val="18"/>
                              <w:lang w:val="en-IE"/>
                            </w:rPr>
                            <m:t xml:space="preserve">Derived MRL </m:t>
                          </m:r>
                          <m:r>
                            <w:rPr>
                              <w:rFonts w:ascii="Cambria Math" w:eastAsiaTheme="minorEastAsia" w:hAnsi="Cambria Math"/>
                              <w:sz w:val="18"/>
                              <w:szCs w:val="18"/>
                              <w:lang w:val="en-IE"/>
                            </w:rPr>
                            <m:t>for</m:t>
                          </m:r>
                          <m:r>
                            <m:rPr>
                              <m:sty m:val="bi"/>
                            </m:rPr>
                            <w:rPr>
                              <w:rFonts w:ascii="Cambria Math" w:eastAsiaTheme="minorEastAsia" w:hAnsi="Cambria Math"/>
                              <w:sz w:val="18"/>
                              <w:szCs w:val="18"/>
                              <w:lang w:val="en-IE"/>
                            </w:rPr>
                            <m:t xml:space="preserve"> </m:t>
                          </m:r>
                          <m:r>
                            <w:rPr>
                              <w:rFonts w:ascii="Cambria Math" w:eastAsiaTheme="minorEastAsia" w:hAnsi="Cambria Math"/>
                              <w:sz w:val="18"/>
                              <w:szCs w:val="18"/>
                              <w:lang w:val="en-IE"/>
                            </w:rPr>
                            <m:t xml:space="preserve">composite food consisting </m:t>
                          </m:r>
                          <m:r>
                            <w:rPr>
                              <w:rFonts w:ascii="Cambria Math" w:eastAsiaTheme="minorEastAsia" w:hAnsi="Cambria Math"/>
                              <w:sz w:val="18"/>
                              <w:szCs w:val="18"/>
                              <w:lang w:val="en-IE"/>
                            </w:rPr>
                            <m:t>unprocessed product A</m:t>
                          </m:r>
                          <m:r>
                            <w:rPr>
                              <w:rFonts w:ascii="Cambria Math" w:eastAsiaTheme="minorEastAsia" w:hAnsi="Cambria Math"/>
                              <w:sz w:val="18"/>
                              <w:szCs w:val="18"/>
                              <w:lang w:val="en-IE"/>
                            </w:rPr>
                            <m:t xml:space="preserve"> and B</m:t>
                          </m:r>
                          <m:r>
                            <w:rPr>
                              <w:rFonts w:ascii="Cambria Math" w:eastAsiaTheme="minorEastAsia" w:hAnsi="Cambria Math"/>
                              <w:sz w:val="18"/>
                              <w:szCs w:val="18"/>
                              <w:lang w:val="en-IE"/>
                            </w:rPr>
                            <m:t xml:space="preserve"> covered by Annex I</m:t>
                          </m:r>
                          <m:r>
                            <w:rPr>
                              <w:rFonts w:ascii="Cambria Math" w:eastAsiaTheme="minorEastAsia" w:hAnsi="Cambria Math"/>
                              <w:sz w:val="18"/>
                              <w:szCs w:val="18"/>
                              <w:lang w:val="en-IE"/>
                            </w:rPr>
                            <m:t xml:space="preserve"> (mg/kg)=(MRL of the relevant unprocessed product A covered by Annex I (mg/kg)*percentage of </m:t>
                          </m:r>
                          <m:r>
                            <w:rPr>
                              <w:rFonts w:ascii="Cambria Math" w:eastAsiaTheme="minorEastAsia" w:hAnsi="Cambria Math"/>
                              <w:sz w:val="18"/>
                              <w:szCs w:val="18"/>
                              <w:lang w:val="en-IE"/>
                            </w:rPr>
                            <m:t xml:space="preserve">the </m:t>
                          </m:r>
                          <m:r>
                            <w:rPr>
                              <w:rFonts w:ascii="Cambria Math" w:eastAsiaTheme="minorEastAsia" w:hAnsi="Cambria Math"/>
                              <w:sz w:val="18"/>
                              <w:szCs w:val="18"/>
                              <w:lang w:val="en-IE"/>
                            </w:rPr>
                            <m:t>relevant unprocessed product A covered by Annex I )+</m:t>
                          </m:r>
                          <m:r>
                            <w:rPr>
                              <w:rFonts w:ascii="Cambria Math" w:eastAsiaTheme="minorEastAsia" w:hAnsi="Cambria Math"/>
                              <w:sz w:val="18"/>
                              <w:szCs w:val="18"/>
                              <w:lang w:val="en-IE"/>
                            </w:rPr>
                            <m:t>(</m:t>
                          </m:r>
                          <m:r>
                            <w:rPr>
                              <w:rFonts w:ascii="Cambria Math" w:eastAsiaTheme="minorEastAsia" w:hAnsi="Cambria Math"/>
                              <w:sz w:val="18"/>
                              <w:szCs w:val="18"/>
                              <w:lang w:val="en-IE"/>
                            </w:rPr>
                            <m:t xml:space="preserve">MRL of the relevant unprocessed product B covered by Annex I (mg/kg)*percentage of </m:t>
                          </m:r>
                          <m:r>
                            <w:rPr>
                              <w:rFonts w:ascii="Cambria Math" w:eastAsiaTheme="minorEastAsia" w:hAnsi="Cambria Math"/>
                              <w:sz w:val="18"/>
                              <w:szCs w:val="18"/>
                              <w:lang w:val="en-IE"/>
                            </w:rPr>
                            <m:t xml:space="preserve">the </m:t>
                          </m:r>
                          <m:r>
                            <w:rPr>
                              <w:rFonts w:ascii="Cambria Math" w:eastAsiaTheme="minorEastAsia" w:hAnsi="Cambria Math"/>
                              <w:sz w:val="18"/>
                              <w:szCs w:val="18"/>
                              <w:lang w:val="en-IE"/>
                            </w:rPr>
                            <m:t>relevant unprocessed product B covered by Annex I)</m:t>
                          </m:r>
                        </m:oMath>
                      </m:oMathPara>
                    </w:p>
                    <w:p w14:paraId="278A2639" w14:textId="77777777" w:rsidR="000727A7" w:rsidRDefault="000727A7" w:rsidP="000727A7"/>
                  </w:txbxContent>
                </v:textbox>
                <w10:anchorlock/>
              </v:shape>
            </w:pict>
          </mc:Fallback>
        </mc:AlternateContent>
      </w:r>
      <w:r>
        <w:rPr>
          <w:b/>
          <w:lang w:val="en-IE"/>
        </w:rPr>
        <w:t xml:space="preserve"> </w:t>
      </w:r>
    </w:p>
    <w:p w14:paraId="51E54289" w14:textId="48050856" w:rsidR="000727A7" w:rsidRDefault="006C6ED1" w:rsidP="000727A7">
      <w:pPr>
        <w:rPr>
          <w:lang w:val="en-IE"/>
        </w:rPr>
      </w:pPr>
      <w:r w:rsidRPr="006C6ED1">
        <w:rPr>
          <w:lang w:val="en-IE"/>
        </w:rPr>
        <w:t xml:space="preserve">If in the composite food the unprocessed </w:t>
      </w:r>
      <w:r>
        <w:rPr>
          <w:lang w:val="en-IE"/>
        </w:rPr>
        <w:t xml:space="preserve">products covered by Annex I </w:t>
      </w:r>
      <w:r w:rsidRPr="006C6ED1">
        <w:rPr>
          <w:lang w:val="en-IE"/>
        </w:rPr>
        <w:t>are used in a processed form (e.g. dried) then processing factors should be considered in addition.</w:t>
      </w:r>
    </w:p>
    <w:p w14:paraId="295B259D" w14:textId="77777777" w:rsidR="006C6ED1" w:rsidRPr="006C6ED1" w:rsidRDefault="006C6ED1" w:rsidP="000727A7">
      <w:pPr>
        <w:rPr>
          <w:lang w:val="en-IE"/>
        </w:rPr>
      </w:pPr>
    </w:p>
    <w:p w14:paraId="333DB5D1" w14:textId="38259A4E" w:rsidR="00F85DC2" w:rsidRPr="00C9399A" w:rsidRDefault="00F85DC2" w:rsidP="00F85DC2">
      <w:pPr>
        <w:rPr>
          <w:b/>
          <w:lang w:val="en-IE"/>
        </w:rPr>
      </w:pPr>
      <w:r w:rsidRPr="00C9399A">
        <w:rPr>
          <w:b/>
          <w:lang w:val="en-IE"/>
        </w:rPr>
        <w:t>Different types of processing factors</w:t>
      </w:r>
    </w:p>
    <w:p w14:paraId="6174E532" w14:textId="77777777" w:rsidR="00F85DC2" w:rsidRDefault="00F85DC2" w:rsidP="00F85DC2">
      <w:pPr>
        <w:jc w:val="both"/>
        <w:rPr>
          <w:lang w:val="en-IE"/>
        </w:rPr>
      </w:pPr>
      <w:r w:rsidRPr="00C4222B">
        <w:rPr>
          <w:lang w:val="en-IE"/>
        </w:rPr>
        <w:t xml:space="preserve">Processing factors </w:t>
      </w:r>
      <w:r>
        <w:rPr>
          <w:lang w:val="en-IE"/>
        </w:rPr>
        <w:t xml:space="preserve">can be divided into </w:t>
      </w:r>
      <w:r w:rsidRPr="00C4222B">
        <w:rPr>
          <w:lang w:val="en-IE"/>
        </w:rPr>
        <w:t xml:space="preserve">substance-specific processing </w:t>
      </w:r>
      <w:r w:rsidRPr="00C9399A">
        <w:rPr>
          <w:lang w:val="en-IE"/>
        </w:rPr>
        <w:t xml:space="preserve">factors and generic processing factors for certain standard processing operations (e.g. drying by removing of water). Generic processing factors should only </w:t>
      </w:r>
      <w:r>
        <w:rPr>
          <w:lang w:val="en-IE"/>
        </w:rPr>
        <w:t xml:space="preserve">be </w:t>
      </w:r>
      <w:r w:rsidRPr="00C9399A">
        <w:rPr>
          <w:lang w:val="en-IE"/>
        </w:rPr>
        <w:t>used when substance specific factors are not available.</w:t>
      </w:r>
    </w:p>
    <w:p w14:paraId="5C8999EF" w14:textId="77777777" w:rsidR="00F85DC2" w:rsidRPr="00C9399A" w:rsidRDefault="00F85DC2" w:rsidP="00F85DC2">
      <w:pPr>
        <w:jc w:val="both"/>
        <w:rPr>
          <w:i/>
          <w:lang w:val="en-IE"/>
        </w:rPr>
      </w:pPr>
      <w:r w:rsidRPr="00C9399A">
        <w:rPr>
          <w:i/>
          <w:lang w:val="en-IE"/>
        </w:rPr>
        <w:t>Substance specific processing factors</w:t>
      </w:r>
    </w:p>
    <w:p w14:paraId="25E35FCF" w14:textId="10711D06" w:rsidR="00F85DC2" w:rsidRDefault="00F85DC2" w:rsidP="00F85DC2">
      <w:pPr>
        <w:jc w:val="both"/>
      </w:pPr>
      <w:r>
        <w:rPr>
          <w:lang w:val="en-IE"/>
        </w:rPr>
        <w:t>A s</w:t>
      </w:r>
      <w:r w:rsidRPr="00805357">
        <w:rPr>
          <w:lang w:val="en-IE"/>
        </w:rPr>
        <w:t>ubst</w:t>
      </w:r>
      <w:r>
        <w:rPr>
          <w:lang w:val="en-IE"/>
        </w:rPr>
        <w:t xml:space="preserve">ance-specific processing factor </w:t>
      </w:r>
      <w:r w:rsidRPr="00B9476F">
        <w:rPr>
          <w:lang w:val="en-IE"/>
        </w:rPr>
        <w:t>is specific to</w:t>
      </w:r>
      <w:r>
        <w:rPr>
          <w:lang w:val="en-IE"/>
        </w:rPr>
        <w:t xml:space="preserve"> a</w:t>
      </w:r>
      <w:r w:rsidRPr="00B9476F">
        <w:rPr>
          <w:lang w:val="en-IE"/>
        </w:rPr>
        <w:t xml:space="preserve"> certain active substance in a certain commodity that </w:t>
      </w:r>
      <w:r>
        <w:rPr>
          <w:lang w:val="en-IE"/>
        </w:rPr>
        <w:t>has undergone a certain process (e.g. Pf of 0.32 for ametoctradin in pasteurised grape juice).</w:t>
      </w:r>
      <w:r w:rsidRPr="00783663">
        <w:t xml:space="preserve"> </w:t>
      </w:r>
      <w:r>
        <w:t>For some active substances and processes, processing factors may vary</w:t>
      </w:r>
      <w:r w:rsidRPr="00D30B7C">
        <w:t xml:space="preserve"> </w:t>
      </w:r>
      <w:r>
        <w:t xml:space="preserve">considerably </w:t>
      </w:r>
      <w:r w:rsidRPr="00D30B7C">
        <w:t>even when obtained under comparable conditions</w:t>
      </w:r>
      <w:r>
        <w:t xml:space="preserve">. </w:t>
      </w:r>
      <w:r w:rsidRPr="00D30B7C">
        <w:t>The use of a median factor is therefore preferred over the use of an individual factor.</w:t>
      </w:r>
    </w:p>
    <w:p w14:paraId="2BC6EC8D" w14:textId="77777777" w:rsidR="00567FF3" w:rsidRPr="00F85DC2" w:rsidRDefault="00567FF3" w:rsidP="00567FF3">
      <w:pPr>
        <w:jc w:val="both"/>
        <w:rPr>
          <w:i/>
          <w:lang w:val="en-GB"/>
        </w:rPr>
      </w:pPr>
      <w:r w:rsidRPr="00F85DC2">
        <w:rPr>
          <w:i/>
          <w:lang w:val="en-GB"/>
        </w:rPr>
        <w:t>Extrapolation of substance specific processing factors</w:t>
      </w:r>
    </w:p>
    <w:p w14:paraId="096DB3EB" w14:textId="77777777" w:rsidR="00567FF3" w:rsidRDefault="00567FF3" w:rsidP="00567FF3">
      <w:pPr>
        <w:jc w:val="both"/>
        <w:rPr>
          <w:rFonts w:ascii="Times New Roman" w:hAnsi="Times New Roman"/>
          <w:sz w:val="24"/>
          <w:szCs w:val="24"/>
          <w:lang w:val="en-IE"/>
        </w:rPr>
      </w:pPr>
      <w:r w:rsidRPr="00C9399A">
        <w:rPr>
          <w:lang w:val="en-IE"/>
        </w:rPr>
        <w:t>In certain cases</w:t>
      </w:r>
      <w:r>
        <w:rPr>
          <w:lang w:val="en-IE"/>
        </w:rPr>
        <w:t xml:space="preserve"> and provided that processes are comparable</w:t>
      </w:r>
      <w:r w:rsidRPr="00C9399A">
        <w:rPr>
          <w:lang w:val="en-IE"/>
        </w:rPr>
        <w:t>, extrapolation between similar commodities could be considered</w:t>
      </w:r>
      <w:r w:rsidRPr="004B534B">
        <w:rPr>
          <w:vertAlign w:val="superscript"/>
          <w:lang w:val="en-IE"/>
        </w:rPr>
        <w:footnoteReference w:id="7"/>
      </w:r>
      <w:r w:rsidRPr="002A22E9">
        <w:rPr>
          <w:vertAlign w:val="superscript"/>
          <w:lang w:val="en-IE"/>
        </w:rPr>
        <w:t>,</w:t>
      </w:r>
      <w:r>
        <w:rPr>
          <w:rStyle w:val="FootnoteReference"/>
          <w:lang w:val="en-IE"/>
        </w:rPr>
        <w:footnoteReference w:id="8"/>
      </w:r>
      <w:r w:rsidRPr="00C9399A">
        <w:rPr>
          <w:lang w:val="en-IE"/>
        </w:rPr>
        <w:t>.</w:t>
      </w:r>
      <w:r>
        <w:rPr>
          <w:lang w:val="en-IE"/>
        </w:rPr>
        <w:t xml:space="preserve"> Those cases could include the </w:t>
      </w:r>
      <w:r w:rsidRPr="00514756">
        <w:rPr>
          <w:lang w:val="en-IE"/>
        </w:rPr>
        <w:t>extrapolation</w:t>
      </w:r>
      <w:r>
        <w:rPr>
          <w:lang w:val="en-IE"/>
        </w:rPr>
        <w:t xml:space="preserve"> of processing factors for processed products derived from raw material classified</w:t>
      </w:r>
      <w:r w:rsidRPr="00514756">
        <w:rPr>
          <w:lang w:val="en-IE"/>
        </w:rPr>
        <w:t xml:space="preserve"> in the</w:t>
      </w:r>
      <w:r>
        <w:rPr>
          <w:lang w:val="en-IE"/>
        </w:rPr>
        <w:t xml:space="preserve"> same commodity</w:t>
      </w:r>
      <w:r w:rsidRPr="00514756">
        <w:rPr>
          <w:lang w:val="en-IE"/>
        </w:rPr>
        <w:t xml:space="preserve"> </w:t>
      </w:r>
      <w:r>
        <w:rPr>
          <w:lang w:val="en-IE"/>
        </w:rPr>
        <w:t>(</w:t>
      </w:r>
      <w:r w:rsidRPr="00514756">
        <w:rPr>
          <w:lang w:val="en-IE"/>
        </w:rPr>
        <w:t>sub</w:t>
      </w:r>
      <w:r>
        <w:rPr>
          <w:lang w:val="en-IE"/>
        </w:rPr>
        <w:t>)</w:t>
      </w:r>
      <w:r w:rsidRPr="00514756">
        <w:rPr>
          <w:lang w:val="en-IE"/>
        </w:rPr>
        <w:t xml:space="preserve">group e.g. cherries to plums </w:t>
      </w:r>
      <w:r>
        <w:rPr>
          <w:lang w:val="en-IE"/>
        </w:rPr>
        <w:t>treated with</w:t>
      </w:r>
      <w:r w:rsidRPr="00514756">
        <w:rPr>
          <w:lang w:val="en-IE"/>
        </w:rPr>
        <w:t xml:space="preserve"> the same active substance</w:t>
      </w:r>
      <w:r>
        <w:rPr>
          <w:lang w:val="en-IE"/>
        </w:rPr>
        <w:t>. Also, in some cases it could be possible to apply the processing factor from an</w:t>
      </w:r>
      <w:r w:rsidRPr="00514756">
        <w:rPr>
          <w:lang w:val="en-IE"/>
        </w:rPr>
        <w:t xml:space="preserve"> active substance to</w:t>
      </w:r>
      <w:r>
        <w:rPr>
          <w:lang w:val="en-IE"/>
        </w:rPr>
        <w:t xml:space="preserve"> a different</w:t>
      </w:r>
      <w:r w:rsidRPr="00514756">
        <w:rPr>
          <w:lang w:val="en-IE"/>
        </w:rPr>
        <w:t xml:space="preserve"> active substance </w:t>
      </w:r>
      <w:r w:rsidRPr="00F844AC">
        <w:rPr>
          <w:lang w:val="en-IE"/>
        </w:rPr>
        <w:t xml:space="preserve">for the same commodity </w:t>
      </w:r>
      <w:r w:rsidRPr="00514756">
        <w:rPr>
          <w:lang w:val="en-IE"/>
        </w:rPr>
        <w:t>based on physical properties such as e.g. fat solubility</w:t>
      </w:r>
      <w:r>
        <w:rPr>
          <w:lang w:val="en-IE"/>
        </w:rPr>
        <w:t>.</w:t>
      </w:r>
      <w:r w:rsidRPr="00D30B7C">
        <w:t xml:space="preserve"> </w:t>
      </w:r>
      <w:r w:rsidRPr="00D30B7C">
        <w:rPr>
          <w:lang w:val="en-IE"/>
        </w:rPr>
        <w:t>Extrapolations of this kind are left to expert judgement and no general rules can be provided.</w:t>
      </w:r>
    </w:p>
    <w:p w14:paraId="0399C5CE" w14:textId="77777777" w:rsidR="00314496" w:rsidRPr="00567FF3" w:rsidRDefault="00314496" w:rsidP="00314496">
      <w:pPr>
        <w:jc w:val="both"/>
        <w:rPr>
          <w:b/>
        </w:rPr>
      </w:pPr>
      <w:r w:rsidRPr="00567FF3">
        <w:rPr>
          <w:b/>
        </w:rPr>
        <w:lastRenderedPageBreak/>
        <w:t>Generic processing factors</w:t>
      </w:r>
    </w:p>
    <w:p w14:paraId="3D461527" w14:textId="77777777" w:rsidR="00314496" w:rsidRDefault="00314496" w:rsidP="00314496">
      <w:pPr>
        <w:jc w:val="both"/>
      </w:pPr>
      <w:r>
        <w:t>Generic processing factors are specific to a certain process (e.g. dehydration or dilution with water).</w:t>
      </w:r>
    </w:p>
    <w:p w14:paraId="52B6CA99" w14:textId="22F7EBA1" w:rsidR="00D46DAB" w:rsidRDefault="00921A0E" w:rsidP="00D46DAB">
      <w:pPr>
        <w:jc w:val="both"/>
      </w:pPr>
      <w:r>
        <w:t>The drying fac</w:t>
      </w:r>
      <w:r w:rsidR="00624494">
        <w:t>tor</w:t>
      </w:r>
      <w:r w:rsidRPr="00921A0E">
        <w:t xml:space="preserve"> </w:t>
      </w:r>
      <w:r>
        <w:t>only take</w:t>
      </w:r>
      <w:r w:rsidR="00CE7733">
        <w:t>s</w:t>
      </w:r>
      <w:r>
        <w:t xml:space="preserve"> into account concentration of the pesticide residue due to evaporation of water from the unprocessed product covered by Annex I during drying. Drying factors are less suitable because the pesticide residue concentration in the dried commodity may actually be lower than anticipated due to degradation.</w:t>
      </w:r>
      <w:r w:rsidR="00624494" w:rsidRPr="00624494">
        <w:t xml:space="preserve"> </w:t>
      </w:r>
    </w:p>
    <w:p w14:paraId="1C17331E" w14:textId="27930CE5" w:rsidR="00CE7733" w:rsidRDefault="00CE7733" w:rsidP="00CE7733">
      <w:pPr>
        <w:jc w:val="both"/>
      </w:pPr>
      <w:r>
        <w:t>Commodity-specific drying factors are calculated based on the dry matter content in the starting material (</w:t>
      </w:r>
      <w:r w:rsidRPr="00CE7733">
        <w:t>unprocessed product covered by Annex I</w:t>
      </w:r>
      <w:r>
        <w:t>) and the dried commodity derived thereof and are thus specific for the drying process used by a certain producer of dried commodities. Dry matter contents for the starting material and the dried commodity thereof can be obtained from the producer of the dried commodity</w:t>
      </w:r>
      <w:r w:rsidR="00F32995">
        <w:rPr>
          <w:rStyle w:val="FootnoteReference"/>
        </w:rPr>
        <w:footnoteReference w:id="9"/>
      </w:r>
      <w:r>
        <w:t>.</w:t>
      </w:r>
    </w:p>
    <w:p w14:paraId="2A407AE7" w14:textId="7326A545" w:rsidR="00921A0E" w:rsidRPr="00FF2483" w:rsidRDefault="00A508D5" w:rsidP="00921A0E">
      <w:pPr>
        <w:jc w:val="both"/>
        <w:rPr>
          <w:sz w:val="20"/>
          <w:szCs w:val="20"/>
        </w:rPr>
      </w:pPr>
      <m:oMathPara>
        <m:oMath>
          <m:r>
            <w:rPr>
              <w:rFonts w:ascii="Cambria Math" w:hAnsi="Cambria Math"/>
              <w:sz w:val="20"/>
              <w:szCs w:val="20"/>
            </w:rPr>
            <m:t xml:space="preserve">Drying factor = </m:t>
          </m:r>
          <m:f>
            <m:fPr>
              <m:ctrlPr>
                <w:rPr>
                  <w:rFonts w:ascii="Cambria Math" w:hAnsi="Cambria Math"/>
                  <w:i/>
                  <w:sz w:val="20"/>
                  <w:szCs w:val="20"/>
                </w:rPr>
              </m:ctrlPr>
            </m:fPr>
            <m:num>
              <m:r>
                <w:rPr>
                  <w:rFonts w:ascii="Cambria Math" w:hAnsi="Cambria Math"/>
                  <w:sz w:val="20"/>
                  <w:szCs w:val="20"/>
                </w:rPr>
                <m:t xml:space="preserve">dry matter in dried commodity, %  </m:t>
              </m:r>
            </m:num>
            <m:den>
              <m:r>
                <w:rPr>
                  <w:rFonts w:ascii="Cambria Math" w:hAnsi="Cambria Math"/>
                  <w:sz w:val="20"/>
                  <w:szCs w:val="20"/>
                </w:rPr>
                <m:t>dry matter in unprocessed product covered by Annex I, %</m:t>
              </m:r>
            </m:den>
          </m:f>
        </m:oMath>
      </m:oMathPara>
    </w:p>
    <w:p w14:paraId="17295292" w14:textId="5AE149AC" w:rsidR="00D46DAB" w:rsidRDefault="00D46DAB" w:rsidP="00256764">
      <w:pPr>
        <w:jc w:val="both"/>
      </w:pPr>
      <w:r w:rsidRPr="00D46DAB">
        <w:t>The MRL of the dried commodity can be calculated by multiplication of the MRL of the unprocessed product covered by Annex I by the drying factor for the corresponding dried commodity</w:t>
      </w:r>
      <w:r>
        <w:t>.</w:t>
      </w:r>
    </w:p>
    <w:p w14:paraId="15E41553" w14:textId="4FA2A47D" w:rsidR="00D46DAB" w:rsidRPr="00FF2483" w:rsidRDefault="00D46DAB" w:rsidP="00256764">
      <w:pPr>
        <w:jc w:val="both"/>
        <w:rPr>
          <w:sz w:val="20"/>
          <w:szCs w:val="20"/>
        </w:rPr>
      </w:pPr>
      <m:oMathPara>
        <m:oMath>
          <m:r>
            <w:rPr>
              <w:rFonts w:ascii="Cambria Math" w:hAnsi="Cambria Math"/>
              <w:sz w:val="20"/>
              <w:szCs w:val="20"/>
            </w:rPr>
            <m:t xml:space="preserve">The derived MRL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mg</m:t>
                  </m:r>
                </m:num>
                <m:den>
                  <m:r>
                    <w:rPr>
                      <w:rFonts w:ascii="Cambria Math" w:hAnsi="Cambria Math"/>
                      <w:sz w:val="20"/>
                      <w:szCs w:val="20"/>
                    </w:rPr>
                    <m:t>kg</m:t>
                  </m:r>
                </m:den>
              </m:f>
            </m:e>
          </m:d>
          <m:r>
            <w:rPr>
              <w:rFonts w:ascii="Cambria Math" w:hAnsi="Cambria Math"/>
              <w:sz w:val="20"/>
              <w:szCs w:val="20"/>
            </w:rPr>
            <m:t>= dry matter in unprocessed product covered by Annex I ,</m:t>
          </m:r>
          <m:f>
            <m:fPr>
              <m:ctrlPr>
                <w:rPr>
                  <w:rFonts w:ascii="Cambria Math" w:hAnsi="Cambria Math"/>
                  <w:i/>
                  <w:sz w:val="20"/>
                  <w:szCs w:val="20"/>
                </w:rPr>
              </m:ctrlPr>
            </m:fPr>
            <m:num>
              <m:r>
                <w:rPr>
                  <w:rFonts w:ascii="Cambria Math" w:hAnsi="Cambria Math"/>
                  <w:sz w:val="20"/>
                  <w:szCs w:val="20"/>
                </w:rPr>
                <m:t>mg</m:t>
              </m:r>
            </m:num>
            <m:den>
              <m:r>
                <w:rPr>
                  <w:rFonts w:ascii="Cambria Math" w:hAnsi="Cambria Math"/>
                  <w:sz w:val="20"/>
                  <w:szCs w:val="20"/>
                </w:rPr>
                <m:t>kg</m:t>
              </m:r>
            </m:den>
          </m:f>
          <m:r>
            <w:rPr>
              <w:rFonts w:ascii="Cambria Math" w:hAnsi="Cambria Math"/>
              <w:sz w:val="20"/>
              <w:szCs w:val="20"/>
            </w:rPr>
            <m:t>*drying factor</m:t>
          </m:r>
        </m:oMath>
      </m:oMathPara>
    </w:p>
    <w:p w14:paraId="5B0133B6" w14:textId="45B9FCD8" w:rsidR="00F32995" w:rsidRDefault="00F32995" w:rsidP="00256764">
      <w:pPr>
        <w:jc w:val="both"/>
      </w:pPr>
      <w:r>
        <w:t>Default drying factors</w:t>
      </w:r>
      <w:r w:rsidRPr="00F32995">
        <w:rPr>
          <w:vertAlign w:val="superscript"/>
        </w:rPr>
        <w:t xml:space="preserve">8 </w:t>
      </w:r>
      <w:r>
        <w:t xml:space="preserve"> are based on the dry matter content in the starting material (</w:t>
      </w:r>
      <w:r w:rsidRPr="00F32995">
        <w:t>unprocessed product covered by Annex I</w:t>
      </w:r>
      <w:r>
        <w:t xml:space="preserve">) and the dried commodity derived thereof for the most common dried products. </w:t>
      </w:r>
    </w:p>
    <w:p w14:paraId="5ED4F59C" w14:textId="6BE22819" w:rsidR="00F85DC2" w:rsidRDefault="00314496" w:rsidP="00256764">
      <w:pPr>
        <w:jc w:val="both"/>
      </w:pPr>
      <w:r>
        <w:t>The yield factor (in percentage) is the mass of the processed commodity (in kg) divided by the mass of the corresponding relevant</w:t>
      </w:r>
      <w:r w:rsidR="00F63E09">
        <w:t xml:space="preserve"> unprocessed</w:t>
      </w:r>
      <w:r>
        <w:t xml:space="preserve"> product covered by Annex I (in kg) and multiplied by 100 to get a percentage. </w:t>
      </w:r>
      <w:r w:rsidR="0057695B">
        <w:t xml:space="preserve">In </w:t>
      </w:r>
      <w:r w:rsidR="00F13F2B">
        <w:t>many</w:t>
      </w:r>
      <w:r w:rsidR="0057695B">
        <w:t xml:space="preserve"> cases, e.g. </w:t>
      </w:r>
      <w:r w:rsidR="0057695B" w:rsidRPr="00F63E09">
        <w:t>when the commodity is heated the residue can be hydrolysed, or when the commodity is boiled</w:t>
      </w:r>
      <w:r w:rsidR="0057695B">
        <w:t>, the</w:t>
      </w:r>
      <w:r w:rsidR="0057695B" w:rsidRPr="00F63E09">
        <w:t xml:space="preserve"> residues can be transferred to the water, </w:t>
      </w:r>
      <w:r w:rsidR="0057695B">
        <w:t xml:space="preserve">the residue level in </w:t>
      </w:r>
      <w:r w:rsidR="0057695B" w:rsidRPr="00F63E09">
        <w:t>unprocessed product covered by Annex I</w:t>
      </w:r>
      <w:r w:rsidR="0057695B">
        <w:t xml:space="preserve"> could be highly overestimated if calculated with a yield factor. Therefore, t</w:t>
      </w:r>
      <w:r>
        <w:t>he yield factor could – together with information on physico-chemical properties of the active substance - give an</w:t>
      </w:r>
      <w:r w:rsidR="00F63E09">
        <w:t xml:space="preserve"> </w:t>
      </w:r>
      <w:r>
        <w:t>indication whether the MRL of the original product is likely to be compliant with the MRL and therefore could be</w:t>
      </w:r>
      <w:r w:rsidR="00D46DAB">
        <w:t xml:space="preserve"> </w:t>
      </w:r>
      <w:r>
        <w:t xml:space="preserve">considered </w:t>
      </w:r>
      <w:r w:rsidR="00D46DAB">
        <w:t xml:space="preserve">only </w:t>
      </w:r>
      <w:r>
        <w:t>when there are no other processing factors available.</w:t>
      </w:r>
      <w:r w:rsidR="00F63E09">
        <w:t xml:space="preserve"> </w:t>
      </w:r>
    </w:p>
    <w:p w14:paraId="5E293081" w14:textId="77777777" w:rsidR="00256764" w:rsidRDefault="00256764" w:rsidP="00256764">
      <w:pPr>
        <w:jc w:val="both"/>
      </w:pPr>
    </w:p>
    <w:p w14:paraId="025AE2DB" w14:textId="4B01A119" w:rsidR="00F63E09" w:rsidRPr="006C6ED1" w:rsidRDefault="00F63E09" w:rsidP="00F63E09">
      <w:pPr>
        <w:jc w:val="both"/>
        <w:rPr>
          <w:sz w:val="18"/>
          <w:szCs w:val="18"/>
        </w:rPr>
      </w:pPr>
      <m:oMathPara>
        <m:oMath>
          <m:r>
            <w:rPr>
              <w:rFonts w:ascii="Cambria Math" w:hAnsi="Cambria Math"/>
              <w:sz w:val="18"/>
              <w:szCs w:val="18"/>
            </w:rPr>
            <m:t xml:space="preserve">Yield factor </m:t>
          </m:r>
          <m:d>
            <m:dPr>
              <m:ctrlPr>
                <w:rPr>
                  <w:rFonts w:ascii="Cambria Math" w:hAnsi="Cambria Math"/>
                  <w:i/>
                  <w:sz w:val="18"/>
                  <w:szCs w:val="18"/>
                </w:rPr>
              </m:ctrlPr>
            </m:dPr>
            <m:e>
              <m:r>
                <w:rPr>
                  <w:rFonts w:ascii="Cambria Math" w:hAnsi="Cambria Math"/>
                  <w:sz w:val="18"/>
                  <w:szCs w:val="18"/>
                </w:rPr>
                <m:t>%</m:t>
              </m:r>
            </m:e>
          </m:d>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 xml:space="preserve">mass of the processed commodity, kg </m:t>
              </m:r>
            </m:num>
            <m:den>
              <m:r>
                <w:rPr>
                  <w:rFonts w:ascii="Cambria Math" w:hAnsi="Cambria Math"/>
                  <w:sz w:val="18"/>
                  <w:szCs w:val="18"/>
                </w:rPr>
                <m:t>mass of  in unprocessed product covered by Annex I, kg</m:t>
              </m:r>
            </m:den>
          </m:f>
          <m:r>
            <w:rPr>
              <w:rFonts w:ascii="Cambria Math" w:hAnsi="Cambria Math"/>
              <w:sz w:val="18"/>
              <w:szCs w:val="18"/>
            </w:rPr>
            <m:t>*100</m:t>
          </m:r>
        </m:oMath>
      </m:oMathPara>
    </w:p>
    <w:p w14:paraId="0D6392EC" w14:textId="23408B12" w:rsidR="00F63E09" w:rsidRDefault="00F63E09" w:rsidP="005F77B4">
      <w:pPr>
        <w:jc w:val="both"/>
      </w:pPr>
    </w:p>
    <w:p w14:paraId="525FDCE9" w14:textId="383EDDEF" w:rsidR="00E84723" w:rsidRDefault="00E76A81" w:rsidP="00B70221">
      <w:pPr>
        <w:rPr>
          <w:b/>
          <w:lang w:val="en-IE" w:eastAsia="en-GB"/>
        </w:rPr>
      </w:pPr>
      <w:r>
        <w:rPr>
          <w:b/>
          <w:lang w:val="en-IE" w:eastAsia="en-GB"/>
        </w:rPr>
        <w:lastRenderedPageBreak/>
        <w:t>Use of a</w:t>
      </w:r>
      <w:r w:rsidR="00E56EC0">
        <w:rPr>
          <w:b/>
          <w:lang w:val="en-IE" w:eastAsia="en-GB"/>
        </w:rPr>
        <w:t>vailable d</w:t>
      </w:r>
      <w:r w:rsidR="00486E97" w:rsidRPr="00B70221">
        <w:rPr>
          <w:b/>
          <w:lang w:val="en-IE" w:eastAsia="en-GB"/>
        </w:rPr>
        <w:t>ata sources</w:t>
      </w:r>
    </w:p>
    <w:p w14:paraId="7B8FAED8" w14:textId="1D8AD47A" w:rsidR="00BC7F70" w:rsidRDefault="00215624" w:rsidP="00BC7F70">
      <w:pPr>
        <w:jc w:val="both"/>
        <w:rPr>
          <w:lang w:val="en-GB"/>
        </w:rPr>
      </w:pPr>
      <w:r w:rsidRPr="00215624">
        <w:rPr>
          <w:lang w:val="en-IE" w:eastAsia="en-GB"/>
        </w:rPr>
        <w:t xml:space="preserve">A description of the most used processes can be retrieved from the </w:t>
      </w:r>
      <w:hyperlink r:id="rId11" w:history="1">
        <w:r w:rsidRPr="00453537">
          <w:rPr>
            <w:rStyle w:val="Hyperlink"/>
            <w:lang w:val="en-IE" w:eastAsia="en-GB"/>
          </w:rPr>
          <w:t>EFSA compendium</w:t>
        </w:r>
      </w:hyperlink>
      <w:r w:rsidRPr="00215624">
        <w:rPr>
          <w:lang w:val="en-IE" w:eastAsia="en-GB"/>
        </w:rPr>
        <w:t xml:space="preserve">. </w:t>
      </w:r>
      <w:r w:rsidR="00F74D54">
        <w:rPr>
          <w:lang w:val="en-IE" w:eastAsia="en-GB"/>
        </w:rPr>
        <w:t>P</w:t>
      </w:r>
      <w:r w:rsidR="00BC7F70">
        <w:rPr>
          <w:lang w:val="en-IE" w:eastAsia="en-GB"/>
        </w:rPr>
        <w:t xml:space="preserve">rocessing factors can be retrieved from the </w:t>
      </w:r>
      <w:hyperlink r:id="rId12" w:anchor=".YHBgL44zZaQ" w:history="1">
        <w:r w:rsidR="00BC7F70" w:rsidRPr="008D25BA">
          <w:rPr>
            <w:rStyle w:val="Hyperlink"/>
            <w:lang w:val="en-IE" w:eastAsia="en-GB"/>
          </w:rPr>
          <w:t>EFSA</w:t>
        </w:r>
        <w:r w:rsidR="00DD60BC" w:rsidRPr="008D25BA">
          <w:rPr>
            <w:rStyle w:val="Hyperlink"/>
            <w:lang w:val="en-IE" w:eastAsia="en-GB"/>
          </w:rPr>
          <w:t xml:space="preserve"> (EU)</w:t>
        </w:r>
        <w:r w:rsidR="00BC7F70" w:rsidRPr="008D25BA">
          <w:rPr>
            <w:rStyle w:val="Hyperlink"/>
            <w:lang w:val="en-IE" w:eastAsia="en-GB"/>
          </w:rPr>
          <w:t xml:space="preserve"> database</w:t>
        </w:r>
      </w:hyperlink>
      <w:r w:rsidR="00F74D54">
        <w:rPr>
          <w:lang w:val="en-IE" w:eastAsia="en-GB"/>
        </w:rPr>
        <w:t>,</w:t>
      </w:r>
      <w:r w:rsidR="001B7119">
        <w:rPr>
          <w:lang w:val="en-IE" w:eastAsia="en-GB"/>
        </w:rPr>
        <w:t xml:space="preserve"> </w:t>
      </w:r>
      <w:r w:rsidR="00BC7F70">
        <w:rPr>
          <w:lang w:val="en-IE" w:eastAsia="en-GB"/>
        </w:rPr>
        <w:t xml:space="preserve">national databases </w:t>
      </w:r>
      <w:r w:rsidR="00F74D54">
        <w:rPr>
          <w:lang w:val="en-IE" w:eastAsia="en-GB"/>
        </w:rPr>
        <w:t xml:space="preserve">or further sources </w:t>
      </w:r>
      <w:r w:rsidR="00BC7F70">
        <w:rPr>
          <w:lang w:val="en-IE" w:eastAsia="en-GB"/>
        </w:rPr>
        <w:t>and can be used</w:t>
      </w:r>
      <w:r w:rsidR="00BC7F70" w:rsidRPr="00654782">
        <w:rPr>
          <w:lang w:val="en-GB"/>
        </w:rPr>
        <w:t xml:space="preserve"> by </w:t>
      </w:r>
      <w:r w:rsidR="00BC7F70">
        <w:rPr>
          <w:lang w:val="en-GB"/>
        </w:rPr>
        <w:t xml:space="preserve">the </w:t>
      </w:r>
      <w:r w:rsidR="00BC7F70" w:rsidRPr="00654782">
        <w:rPr>
          <w:lang w:val="en-GB"/>
        </w:rPr>
        <w:t xml:space="preserve">Member States’ enforcement authorities. </w:t>
      </w:r>
      <w:r w:rsidR="00BC7F70" w:rsidRPr="00EC1D9C">
        <w:rPr>
          <w:lang w:val="en-GB"/>
        </w:rPr>
        <w:t xml:space="preserve">However, processing factors are product and substance specific and processing methods </w:t>
      </w:r>
      <w:r>
        <w:rPr>
          <w:lang w:val="en-GB"/>
        </w:rPr>
        <w:t xml:space="preserve">may </w:t>
      </w:r>
      <w:r w:rsidR="00BC7F70" w:rsidRPr="00EC1D9C">
        <w:rPr>
          <w:lang w:val="en-GB"/>
        </w:rPr>
        <w:t>vary between different producers</w:t>
      </w:r>
      <w:r w:rsidR="00F94B49" w:rsidRPr="00F94B49">
        <w:t xml:space="preserve"> </w:t>
      </w:r>
      <w:r w:rsidR="00F94B49" w:rsidRPr="00F94B49">
        <w:rPr>
          <w:lang w:val="en-GB"/>
        </w:rPr>
        <w:t>and/or</w:t>
      </w:r>
      <w:r w:rsidR="001B7119">
        <w:rPr>
          <w:lang w:val="en-GB"/>
        </w:rPr>
        <w:t xml:space="preserve"> </w:t>
      </w:r>
      <w:r w:rsidR="00BC7F70" w:rsidRPr="00EC1D9C">
        <w:rPr>
          <w:lang w:val="en-GB"/>
        </w:rPr>
        <w:t>recipes and</w:t>
      </w:r>
      <w:r w:rsidR="00F94B49">
        <w:rPr>
          <w:lang w:val="en-GB"/>
        </w:rPr>
        <w:t xml:space="preserve"> often</w:t>
      </w:r>
      <w:r w:rsidR="00BC7F70" w:rsidRPr="00EC1D9C">
        <w:rPr>
          <w:lang w:val="en-GB"/>
        </w:rPr>
        <w:t xml:space="preserve"> cannot be standardi</w:t>
      </w:r>
      <w:r w:rsidR="00BC7F70">
        <w:rPr>
          <w:lang w:val="en-GB"/>
        </w:rPr>
        <w:t>s</w:t>
      </w:r>
      <w:r w:rsidR="00BC7F70" w:rsidRPr="00EC1D9C">
        <w:rPr>
          <w:lang w:val="en-GB"/>
        </w:rPr>
        <w:t xml:space="preserve">ed. The compilation of processing factors can therefore only serve as </w:t>
      </w:r>
      <w:r w:rsidR="00F74D54">
        <w:rPr>
          <w:lang w:val="en-GB"/>
        </w:rPr>
        <w:t>indication</w:t>
      </w:r>
      <w:r w:rsidR="00BC7F70" w:rsidRPr="00EC1D9C">
        <w:rPr>
          <w:lang w:val="en-GB"/>
        </w:rPr>
        <w:t xml:space="preserve">, but it remains the responsibility of </w:t>
      </w:r>
      <w:r w:rsidR="009C64AA">
        <w:rPr>
          <w:lang w:val="en-GB"/>
        </w:rPr>
        <w:t>FBOs</w:t>
      </w:r>
      <w:r w:rsidR="00BC7F70" w:rsidRPr="00EC1D9C">
        <w:rPr>
          <w:lang w:val="en-GB"/>
        </w:rPr>
        <w:t xml:space="preserve"> to provide more detailed information on their particular processes</w:t>
      </w:r>
      <w:r w:rsidR="00F94B49" w:rsidRPr="00F94B49">
        <w:t xml:space="preserve"> </w:t>
      </w:r>
      <w:r w:rsidR="00F94B49" w:rsidRPr="00F94B49">
        <w:rPr>
          <w:lang w:val="en-GB"/>
        </w:rPr>
        <w:t>(i.e. description of the process including yield factors, temperature, pH, duration, concentration factors, dilution factors, addition of ingredients, fractionation</w:t>
      </w:r>
      <w:r w:rsidR="00F94B49">
        <w:rPr>
          <w:lang w:val="en-GB"/>
        </w:rPr>
        <w:t>)</w:t>
      </w:r>
      <w:r w:rsidR="00FB0529">
        <w:rPr>
          <w:lang w:val="en-GB"/>
        </w:rPr>
        <w:t xml:space="preserve">, </w:t>
      </w:r>
      <w:r w:rsidR="00FB0529" w:rsidRPr="00FB0529">
        <w:rPr>
          <w:lang w:val="en-GB"/>
        </w:rPr>
        <w:t xml:space="preserve">their effect on the residue concentration </w:t>
      </w:r>
      <w:r w:rsidR="00BC7F70" w:rsidRPr="00EC1D9C">
        <w:rPr>
          <w:lang w:val="en-GB"/>
        </w:rPr>
        <w:t>and</w:t>
      </w:r>
      <w:r w:rsidR="00F74D54" w:rsidRPr="00F74D54">
        <w:rPr>
          <w:lang w:val="en-GB"/>
        </w:rPr>
        <w:t xml:space="preserve"> </w:t>
      </w:r>
      <w:r w:rsidR="00FB0529">
        <w:rPr>
          <w:lang w:val="en-GB"/>
        </w:rPr>
        <w:t xml:space="preserve">to </w:t>
      </w:r>
      <w:r w:rsidR="00F74D54" w:rsidRPr="00F74D54">
        <w:rPr>
          <w:lang w:val="en-GB"/>
        </w:rPr>
        <w:t xml:space="preserve">ensure that retention samples of </w:t>
      </w:r>
      <w:r w:rsidR="0093364F" w:rsidRPr="0093364F">
        <w:rPr>
          <w:lang w:val="en-GB"/>
        </w:rPr>
        <w:t xml:space="preserve">relevant </w:t>
      </w:r>
      <w:r w:rsidR="00DE74C6">
        <w:rPr>
          <w:lang w:val="en-GB"/>
        </w:rPr>
        <w:t xml:space="preserve">unprocessed </w:t>
      </w:r>
      <w:r w:rsidR="0093364F" w:rsidRPr="0093364F">
        <w:rPr>
          <w:lang w:val="en-GB"/>
        </w:rPr>
        <w:t>product</w:t>
      </w:r>
      <w:r w:rsidR="00DE74C6">
        <w:rPr>
          <w:lang w:val="en-GB"/>
        </w:rPr>
        <w:t>s</w:t>
      </w:r>
      <w:r w:rsidR="0093364F" w:rsidRPr="0093364F">
        <w:rPr>
          <w:lang w:val="en-GB"/>
        </w:rPr>
        <w:t xml:space="preserve"> covered by Annex I </w:t>
      </w:r>
      <w:r w:rsidR="00F74D54" w:rsidRPr="00F74D54">
        <w:rPr>
          <w:lang w:val="en-GB"/>
        </w:rPr>
        <w:t>are available.</w:t>
      </w:r>
      <w:r w:rsidR="00BC7F70" w:rsidRPr="00EC1D9C">
        <w:rPr>
          <w:lang w:val="en-GB"/>
        </w:rPr>
        <w:t xml:space="preserve"> </w:t>
      </w:r>
      <w:r w:rsidR="00F74D54">
        <w:rPr>
          <w:lang w:val="en-GB"/>
        </w:rPr>
        <w:t>I</w:t>
      </w:r>
      <w:r w:rsidR="00BC7F70" w:rsidRPr="00EC1D9C">
        <w:rPr>
          <w:lang w:val="en-GB"/>
        </w:rPr>
        <w:t xml:space="preserve">t is advisable to </w:t>
      </w:r>
      <w:r w:rsidR="0012790C">
        <w:rPr>
          <w:lang w:val="en-GB"/>
        </w:rPr>
        <w:t xml:space="preserve">prepare </w:t>
      </w:r>
      <w:r w:rsidR="00BC7F70" w:rsidRPr="00EC1D9C">
        <w:rPr>
          <w:lang w:val="en-GB"/>
        </w:rPr>
        <w:t>such information proactively so it can be made available to the competent authorities in the Member States</w:t>
      </w:r>
      <w:r w:rsidR="004345D3">
        <w:rPr>
          <w:lang w:val="en-GB"/>
        </w:rPr>
        <w:t xml:space="preserve"> on their request without delay</w:t>
      </w:r>
      <w:r w:rsidR="00BC7F70" w:rsidRPr="00EC1D9C">
        <w:rPr>
          <w:lang w:val="en-GB"/>
        </w:rPr>
        <w:t>.</w:t>
      </w:r>
    </w:p>
    <w:p w14:paraId="2D632ABF" w14:textId="5BF9C9D3" w:rsidR="00BC7F70" w:rsidRPr="00FB0529" w:rsidRDefault="00BC7F70" w:rsidP="00BC7F70">
      <w:pPr>
        <w:jc w:val="both"/>
        <w:rPr>
          <w:i/>
          <w:lang w:val="fr-BE"/>
        </w:rPr>
      </w:pPr>
      <w:r w:rsidRPr="00FB0529">
        <w:rPr>
          <w:i/>
          <w:lang w:val="fr-BE"/>
        </w:rPr>
        <w:t>EFSA publications and EFSA</w:t>
      </w:r>
      <w:r w:rsidR="00FB0529" w:rsidRPr="00FB0529">
        <w:rPr>
          <w:i/>
          <w:lang w:val="fr-BE"/>
        </w:rPr>
        <w:t xml:space="preserve"> (EU)</w:t>
      </w:r>
      <w:r w:rsidRPr="00FB0529">
        <w:rPr>
          <w:i/>
          <w:lang w:val="fr-BE"/>
        </w:rPr>
        <w:t xml:space="preserve"> database</w:t>
      </w:r>
    </w:p>
    <w:p w14:paraId="6D82FE49" w14:textId="667906E1" w:rsidR="00BC7F70" w:rsidRDefault="00BC7F70" w:rsidP="00BC7F70">
      <w:pPr>
        <w:jc w:val="both"/>
        <w:rPr>
          <w:lang w:val="en-GB"/>
        </w:rPr>
      </w:pPr>
      <w:r w:rsidRPr="00195459">
        <w:rPr>
          <w:lang w:val="en-GB"/>
        </w:rPr>
        <w:t>Processing factors for certain substance-</w:t>
      </w:r>
      <w:r w:rsidR="002D1C33">
        <w:rPr>
          <w:lang w:val="en-GB"/>
        </w:rPr>
        <w:t>product</w:t>
      </w:r>
      <w:r w:rsidR="008F4D80">
        <w:rPr>
          <w:lang w:val="en-GB"/>
        </w:rPr>
        <w:t>-process</w:t>
      </w:r>
      <w:r w:rsidR="002D1C33">
        <w:rPr>
          <w:lang w:val="en-GB"/>
        </w:rPr>
        <w:t xml:space="preserve"> </w:t>
      </w:r>
      <w:r w:rsidRPr="00195459">
        <w:rPr>
          <w:lang w:val="en-GB"/>
        </w:rPr>
        <w:t xml:space="preserve">combinations are available in </w:t>
      </w:r>
      <w:r w:rsidR="004345D3">
        <w:rPr>
          <w:lang w:val="en-GB"/>
        </w:rPr>
        <w:t xml:space="preserve">the published EFSA conclusions on the </w:t>
      </w:r>
      <w:r w:rsidRPr="00195459">
        <w:rPr>
          <w:lang w:val="en-GB"/>
        </w:rPr>
        <w:t>peer review</w:t>
      </w:r>
      <w:r w:rsidR="004345D3">
        <w:rPr>
          <w:lang w:val="en-GB"/>
        </w:rPr>
        <w:t xml:space="preserve"> </w:t>
      </w:r>
      <w:r w:rsidRPr="00195459">
        <w:rPr>
          <w:lang w:val="en-GB"/>
        </w:rPr>
        <w:t>or</w:t>
      </w:r>
      <w:r w:rsidR="004345D3">
        <w:rPr>
          <w:lang w:val="en-GB"/>
        </w:rPr>
        <w:t xml:space="preserve"> in</w:t>
      </w:r>
      <w:r w:rsidRPr="00195459">
        <w:rPr>
          <w:lang w:val="en-GB"/>
        </w:rPr>
        <w:t xml:space="preserve"> the </w:t>
      </w:r>
      <w:r w:rsidR="004345D3">
        <w:rPr>
          <w:lang w:val="en-GB"/>
        </w:rPr>
        <w:t xml:space="preserve">EFSA </w:t>
      </w:r>
      <w:r w:rsidRPr="00195459">
        <w:rPr>
          <w:lang w:val="en-GB"/>
        </w:rPr>
        <w:t xml:space="preserve">reasoned opinions for the respective </w:t>
      </w:r>
      <w:r w:rsidR="004345D3">
        <w:rPr>
          <w:lang w:val="en-GB"/>
        </w:rPr>
        <w:t xml:space="preserve">active </w:t>
      </w:r>
      <w:r w:rsidRPr="00195459">
        <w:rPr>
          <w:lang w:val="en-GB"/>
        </w:rPr>
        <w:t xml:space="preserve">substance. </w:t>
      </w:r>
    </w:p>
    <w:p w14:paraId="1D285E27" w14:textId="1D34E9F4" w:rsidR="00BC7F70" w:rsidRDefault="00F74D54" w:rsidP="00BC7F70">
      <w:pPr>
        <w:jc w:val="both"/>
        <w:rPr>
          <w:lang w:val="en-GB"/>
        </w:rPr>
      </w:pPr>
      <w:r>
        <w:rPr>
          <w:lang w:val="en-GB"/>
        </w:rPr>
        <w:t>T</w:t>
      </w:r>
      <w:r w:rsidR="00BC7F70">
        <w:rPr>
          <w:lang w:val="en-GB"/>
        </w:rPr>
        <w:t xml:space="preserve">he </w:t>
      </w:r>
      <w:r w:rsidR="00BC7F70" w:rsidRPr="00DB0F1A">
        <w:rPr>
          <w:lang w:val="en-GB"/>
        </w:rPr>
        <w:t>EFSA</w:t>
      </w:r>
      <w:r w:rsidR="00BC7F70">
        <w:rPr>
          <w:lang w:val="en-GB"/>
        </w:rPr>
        <w:t xml:space="preserve"> (EU) </w:t>
      </w:r>
      <w:r w:rsidR="00BC7F70" w:rsidRPr="00DB0F1A">
        <w:rPr>
          <w:lang w:val="en-GB"/>
        </w:rPr>
        <w:t>database</w:t>
      </w:r>
      <w:r w:rsidR="00DD60BC">
        <w:rPr>
          <w:lang w:val="en-GB"/>
        </w:rPr>
        <w:t xml:space="preserve"> </w:t>
      </w:r>
      <w:r w:rsidR="00BC7F70" w:rsidRPr="00DB0F1A">
        <w:rPr>
          <w:lang w:val="en-GB"/>
        </w:rPr>
        <w:t xml:space="preserve">includes processing factors </w:t>
      </w:r>
      <w:r w:rsidRPr="00F74D54">
        <w:rPr>
          <w:lang w:val="en-GB"/>
        </w:rPr>
        <w:t xml:space="preserve">from EFSA publications until June 2016. Work is currently ongoing to implement additional processing information from more recent EFSA publications. It has to be noted </w:t>
      </w:r>
      <w:r w:rsidR="00BC7F70" w:rsidRPr="00DB0F1A">
        <w:rPr>
          <w:lang w:val="en-GB"/>
        </w:rPr>
        <w:t xml:space="preserve">that </w:t>
      </w:r>
      <w:r w:rsidRPr="00F74D54">
        <w:rPr>
          <w:lang w:val="en-GB"/>
        </w:rPr>
        <w:t xml:space="preserve">the </w:t>
      </w:r>
      <w:r w:rsidR="004345D3">
        <w:rPr>
          <w:lang w:val="en-GB"/>
        </w:rPr>
        <w:t xml:space="preserve">processing </w:t>
      </w:r>
      <w:r w:rsidRPr="00F74D54">
        <w:rPr>
          <w:lang w:val="en-GB"/>
        </w:rPr>
        <w:t>factor</w:t>
      </w:r>
      <w:r w:rsidR="004345D3">
        <w:rPr>
          <w:lang w:val="en-GB"/>
        </w:rPr>
        <w:t>s</w:t>
      </w:r>
      <w:r w:rsidRPr="00F74D54">
        <w:rPr>
          <w:lang w:val="en-GB"/>
        </w:rPr>
        <w:t xml:space="preserve"> in the database </w:t>
      </w:r>
      <w:r w:rsidR="00BC7F70" w:rsidRPr="00DB0F1A">
        <w:rPr>
          <w:lang w:val="en-GB"/>
        </w:rPr>
        <w:t xml:space="preserve">could be different from </w:t>
      </w:r>
      <w:r w:rsidR="004345D3">
        <w:rPr>
          <w:lang w:val="en-GB"/>
        </w:rPr>
        <w:t xml:space="preserve">those </w:t>
      </w:r>
      <w:r w:rsidR="00BF26C1">
        <w:rPr>
          <w:lang w:val="en-GB"/>
        </w:rPr>
        <w:t xml:space="preserve">in </w:t>
      </w:r>
      <w:r w:rsidR="00BC7F70" w:rsidRPr="00DB0F1A">
        <w:rPr>
          <w:lang w:val="en-GB"/>
        </w:rPr>
        <w:t xml:space="preserve">EFSA’s publications as </w:t>
      </w:r>
      <w:r w:rsidR="004345D3">
        <w:rPr>
          <w:lang w:val="en-GB"/>
        </w:rPr>
        <w:t xml:space="preserve">the </w:t>
      </w:r>
      <w:r w:rsidR="00FB0529">
        <w:rPr>
          <w:lang w:val="en-GB"/>
        </w:rPr>
        <w:t>EFSA (</w:t>
      </w:r>
      <w:r w:rsidR="004345D3">
        <w:rPr>
          <w:lang w:val="en-GB"/>
        </w:rPr>
        <w:t>EU</w:t>
      </w:r>
      <w:r w:rsidR="00FB0529">
        <w:rPr>
          <w:lang w:val="en-GB"/>
        </w:rPr>
        <w:t>)</w:t>
      </w:r>
      <w:r w:rsidR="004345D3">
        <w:rPr>
          <w:lang w:val="en-GB"/>
        </w:rPr>
        <w:t xml:space="preserve"> database may contain more recent information (</w:t>
      </w:r>
      <w:r w:rsidR="00BC7F70" w:rsidRPr="00DB0F1A">
        <w:rPr>
          <w:lang w:val="en-GB"/>
        </w:rPr>
        <w:t xml:space="preserve">part of the process of adding processing factors to the </w:t>
      </w:r>
      <w:r w:rsidR="00FB0529">
        <w:rPr>
          <w:lang w:val="en-GB"/>
        </w:rPr>
        <w:t>EFSA (</w:t>
      </w:r>
      <w:r w:rsidR="00BC7F70" w:rsidRPr="00DB0F1A">
        <w:rPr>
          <w:lang w:val="en-GB"/>
        </w:rPr>
        <w:t>EU</w:t>
      </w:r>
      <w:r w:rsidR="00FB0529">
        <w:rPr>
          <w:lang w:val="en-GB"/>
        </w:rPr>
        <w:t>)</w:t>
      </w:r>
      <w:r w:rsidR="00BC7F70" w:rsidRPr="00DB0F1A">
        <w:rPr>
          <w:lang w:val="en-GB"/>
        </w:rPr>
        <w:t xml:space="preserve"> database is the re-assessment of all </w:t>
      </w:r>
      <w:r w:rsidR="00F94B49">
        <w:rPr>
          <w:lang w:val="en-GB"/>
        </w:rPr>
        <w:t xml:space="preserve">processing </w:t>
      </w:r>
      <w:r w:rsidR="00BC7F70" w:rsidRPr="00DB0F1A">
        <w:rPr>
          <w:lang w:val="en-GB"/>
        </w:rPr>
        <w:t>studies</w:t>
      </w:r>
      <w:r w:rsidR="004345D3">
        <w:rPr>
          <w:lang w:val="en-GB"/>
        </w:rPr>
        <w:t>)</w:t>
      </w:r>
      <w:r w:rsidR="00BF26C1">
        <w:rPr>
          <w:lang w:val="en-GB"/>
        </w:rPr>
        <w:t>.</w:t>
      </w:r>
      <w:r w:rsidR="00BC7F70" w:rsidRPr="00DB0F1A">
        <w:rPr>
          <w:lang w:val="en-GB"/>
        </w:rPr>
        <w:t xml:space="preserve"> </w:t>
      </w:r>
      <w:r w:rsidR="00F94B49">
        <w:rPr>
          <w:lang w:val="en-GB"/>
        </w:rPr>
        <w:t xml:space="preserve">Therefore </w:t>
      </w:r>
      <w:r w:rsidR="00BC7F70" w:rsidRPr="00DB0F1A">
        <w:rPr>
          <w:lang w:val="en-GB"/>
        </w:rPr>
        <w:t xml:space="preserve">the processing factor from the </w:t>
      </w:r>
      <w:r w:rsidR="00FB0529">
        <w:rPr>
          <w:lang w:val="en-GB"/>
        </w:rPr>
        <w:t>EFSA (</w:t>
      </w:r>
      <w:r w:rsidR="00BC7F70" w:rsidRPr="00DB0F1A">
        <w:rPr>
          <w:lang w:val="en-GB"/>
        </w:rPr>
        <w:t>EU</w:t>
      </w:r>
      <w:r w:rsidR="00FB0529">
        <w:rPr>
          <w:lang w:val="en-GB"/>
        </w:rPr>
        <w:t>)</w:t>
      </w:r>
      <w:r w:rsidR="00BC7F70" w:rsidRPr="00DB0F1A">
        <w:rPr>
          <w:lang w:val="en-GB"/>
        </w:rPr>
        <w:t xml:space="preserve"> database should be preferred</w:t>
      </w:r>
      <w:r w:rsidR="00CB492F">
        <w:rPr>
          <w:lang w:val="en-GB"/>
        </w:rPr>
        <w:t xml:space="preserve"> when available</w:t>
      </w:r>
      <w:r w:rsidR="00BC7F70" w:rsidRPr="00DB0F1A">
        <w:rPr>
          <w:lang w:val="en-GB"/>
        </w:rPr>
        <w:t xml:space="preserve">. </w:t>
      </w:r>
      <w:r w:rsidR="00BC7F70" w:rsidRPr="00F6758D">
        <w:rPr>
          <w:lang w:val="en-GB"/>
        </w:rPr>
        <w:t>Processing factors</w:t>
      </w:r>
      <w:r w:rsidR="00BC7F70">
        <w:rPr>
          <w:lang w:val="en-GB"/>
        </w:rPr>
        <w:t xml:space="preserve"> </w:t>
      </w:r>
      <w:r w:rsidR="00BC7F70" w:rsidRPr="00F6758D">
        <w:rPr>
          <w:lang w:val="en-GB"/>
        </w:rPr>
        <w:t xml:space="preserve">included in the </w:t>
      </w:r>
      <w:r w:rsidR="00FB0529">
        <w:rPr>
          <w:lang w:val="en-GB"/>
        </w:rPr>
        <w:t>EFSA (</w:t>
      </w:r>
      <w:r w:rsidR="00BC7F70" w:rsidRPr="00F6758D">
        <w:rPr>
          <w:lang w:val="en-GB"/>
        </w:rPr>
        <w:t>EU</w:t>
      </w:r>
      <w:r w:rsidR="00FB0529">
        <w:rPr>
          <w:lang w:val="en-GB"/>
        </w:rPr>
        <w:t>)</w:t>
      </w:r>
      <w:r w:rsidR="00BC7F70" w:rsidRPr="00F6758D">
        <w:rPr>
          <w:lang w:val="en-GB"/>
        </w:rPr>
        <w:t xml:space="preserve"> database have been derived </w:t>
      </w:r>
      <w:r w:rsidR="002A22E9">
        <w:rPr>
          <w:lang w:val="en-GB"/>
        </w:rPr>
        <w:t>from</w:t>
      </w:r>
      <w:r w:rsidR="00BC7F70" w:rsidRPr="00F6758D">
        <w:rPr>
          <w:lang w:val="en-GB"/>
        </w:rPr>
        <w:t xml:space="preserve"> </w:t>
      </w:r>
      <w:r w:rsidR="00CB492F">
        <w:rPr>
          <w:lang w:val="en-GB"/>
        </w:rPr>
        <w:t xml:space="preserve">processing </w:t>
      </w:r>
      <w:r w:rsidR="00BC7F70" w:rsidRPr="00F6758D">
        <w:rPr>
          <w:lang w:val="en-GB"/>
        </w:rPr>
        <w:t>stud</w:t>
      </w:r>
      <w:r w:rsidR="00CB492F">
        <w:rPr>
          <w:lang w:val="en-GB"/>
        </w:rPr>
        <w:t>ies</w:t>
      </w:r>
      <w:r w:rsidR="00BC7F70" w:rsidRPr="00F6758D">
        <w:rPr>
          <w:lang w:val="en-GB"/>
        </w:rPr>
        <w:t xml:space="preserve"> </w:t>
      </w:r>
      <w:r w:rsidR="00CB492F" w:rsidRPr="00F6758D">
        <w:rPr>
          <w:lang w:val="en-GB"/>
        </w:rPr>
        <w:t>comply</w:t>
      </w:r>
      <w:r w:rsidR="00CB492F">
        <w:rPr>
          <w:lang w:val="en-GB"/>
        </w:rPr>
        <w:t>ing</w:t>
      </w:r>
      <w:r w:rsidR="00CB492F" w:rsidRPr="00F6758D">
        <w:rPr>
          <w:lang w:val="en-GB"/>
        </w:rPr>
        <w:t xml:space="preserve"> </w:t>
      </w:r>
      <w:r w:rsidR="00BC7F70" w:rsidRPr="00F6758D">
        <w:rPr>
          <w:lang w:val="en-GB"/>
        </w:rPr>
        <w:t xml:space="preserve">with a minimum of quality criteria (i.e. representativeness of the processing procedures, residue definitions, minimum number of trials, validity of the analytical method, compliance with standards of </w:t>
      </w:r>
      <w:r w:rsidR="002D1C33">
        <w:rPr>
          <w:lang w:val="en-GB"/>
        </w:rPr>
        <w:t>GLP</w:t>
      </w:r>
      <w:r w:rsidR="00BC7F70" w:rsidRPr="00F6758D">
        <w:rPr>
          <w:lang w:val="en-GB"/>
        </w:rPr>
        <w:t>, sample storage conditions).</w:t>
      </w:r>
    </w:p>
    <w:p w14:paraId="7909DDA4" w14:textId="03CC968F" w:rsidR="00F85DC2" w:rsidRDefault="00F85DC2" w:rsidP="00F85DC2">
      <w:pPr>
        <w:jc w:val="both"/>
        <w:rPr>
          <w:lang w:val="en-IE"/>
        </w:rPr>
      </w:pPr>
      <w:r>
        <w:t xml:space="preserve">The </w:t>
      </w:r>
      <w:r w:rsidR="00FF2F2F" w:rsidRPr="00FF2F2F">
        <w:t xml:space="preserve">EFSA (EU) </w:t>
      </w:r>
      <w:r w:rsidRPr="00DA32E1">
        <w:t>database of processing factors for pesticides in food</w:t>
      </w:r>
      <w:r>
        <w:t xml:space="preserve"> </w:t>
      </w:r>
      <w:r>
        <w:rPr>
          <w:lang w:val="en-IE"/>
        </w:rPr>
        <w:t xml:space="preserve">provides </w:t>
      </w:r>
      <w:r w:rsidRPr="00783663">
        <w:rPr>
          <w:lang w:val="en-IE"/>
        </w:rPr>
        <w:t xml:space="preserve">substance-specific </w:t>
      </w:r>
      <w:r>
        <w:rPr>
          <w:lang w:val="en-IE"/>
        </w:rPr>
        <w:t xml:space="preserve">median processing factors. This database is </w:t>
      </w:r>
      <w:r w:rsidRPr="00783663">
        <w:rPr>
          <w:lang w:val="en-IE"/>
        </w:rPr>
        <w:t>based on the residue definition for enforcement and substance-specific p</w:t>
      </w:r>
      <w:r>
        <w:rPr>
          <w:lang w:val="en-IE"/>
        </w:rPr>
        <w:t xml:space="preserve">rocessing factors derived </w:t>
      </w:r>
      <w:r w:rsidRPr="00783663">
        <w:rPr>
          <w:lang w:val="en-IE"/>
        </w:rPr>
        <w:t xml:space="preserve">from this database are suitable </w:t>
      </w:r>
      <w:r>
        <w:rPr>
          <w:lang w:val="en-IE"/>
        </w:rPr>
        <w:t>to get an indication of the compliance of a sample with the established MRL</w:t>
      </w:r>
      <w:r w:rsidRPr="00F844AC">
        <w:rPr>
          <w:lang w:val="en-IE"/>
        </w:rPr>
        <w:t>, if the processing of the food or feed under investigation complies with the process described in the EFSA compendium.</w:t>
      </w:r>
    </w:p>
    <w:p w14:paraId="1200037F" w14:textId="77777777" w:rsidR="00F85DC2" w:rsidRPr="00F85DC2" w:rsidRDefault="00F85DC2" w:rsidP="00BC7F70">
      <w:pPr>
        <w:jc w:val="both"/>
        <w:rPr>
          <w:lang w:val="en-IE"/>
        </w:rPr>
      </w:pPr>
    </w:p>
    <w:p w14:paraId="7A19F39A" w14:textId="7B28AFA3" w:rsidR="00BC7F70" w:rsidRPr="00C9399A" w:rsidRDefault="00BC7F70" w:rsidP="00C9399A">
      <w:pPr>
        <w:jc w:val="both"/>
        <w:rPr>
          <w:i/>
          <w:lang w:val="en-GB"/>
        </w:rPr>
      </w:pPr>
      <w:r w:rsidRPr="00C9399A">
        <w:rPr>
          <w:i/>
          <w:lang w:val="en-GB"/>
        </w:rPr>
        <w:t>National databases</w:t>
      </w:r>
      <w:r w:rsidR="002A22E9">
        <w:rPr>
          <w:i/>
          <w:lang w:val="en-GB"/>
        </w:rPr>
        <w:t xml:space="preserve"> in the European Union and </w:t>
      </w:r>
      <w:r w:rsidR="002A22E9" w:rsidRPr="002A22E9">
        <w:rPr>
          <w:i/>
          <w:lang w:val="en-GB"/>
        </w:rPr>
        <w:t>the Joint Meeting on Pesticide Residues (JMPR) reports</w:t>
      </w:r>
    </w:p>
    <w:p w14:paraId="1D5ADA72" w14:textId="12FFFDD8" w:rsidR="002A22E9" w:rsidRPr="00607787" w:rsidRDefault="00BC7F70" w:rsidP="00607787">
      <w:pPr>
        <w:jc w:val="both"/>
      </w:pPr>
      <w:r>
        <w:rPr>
          <w:lang w:val="en-GB"/>
        </w:rPr>
        <w:t>If no such processing factors are established for the respective active substance-</w:t>
      </w:r>
      <w:r w:rsidR="00BD0108">
        <w:rPr>
          <w:lang w:val="en-GB"/>
        </w:rPr>
        <w:t>product</w:t>
      </w:r>
      <w:r w:rsidR="00CC6C42">
        <w:rPr>
          <w:lang w:val="en-GB"/>
        </w:rPr>
        <w:t>-process</w:t>
      </w:r>
      <w:r>
        <w:rPr>
          <w:lang w:val="en-GB"/>
        </w:rPr>
        <w:t xml:space="preserve"> combination, processing factors from </w:t>
      </w:r>
      <w:r w:rsidR="00BD0108">
        <w:rPr>
          <w:lang w:val="en-GB"/>
        </w:rPr>
        <w:t xml:space="preserve">Member </w:t>
      </w:r>
      <w:r w:rsidR="004345D3">
        <w:rPr>
          <w:lang w:val="en-GB"/>
        </w:rPr>
        <w:t xml:space="preserve">States’ </w:t>
      </w:r>
      <w:r>
        <w:rPr>
          <w:lang w:val="en-GB"/>
        </w:rPr>
        <w:t xml:space="preserve">national databases </w:t>
      </w:r>
      <w:r w:rsidR="004345D3">
        <w:rPr>
          <w:lang w:val="en-GB"/>
        </w:rPr>
        <w:t>could be used, for instance the following (not exhaustive list):</w:t>
      </w:r>
      <w:r w:rsidR="008C1285">
        <w:rPr>
          <w:lang w:val="en-GB"/>
        </w:rPr>
        <w:t xml:space="preserve"> </w:t>
      </w:r>
      <w:hyperlink r:id="rId13" w:history="1">
        <w:r w:rsidRPr="00FE6B6F">
          <w:rPr>
            <w:rStyle w:val="Hyperlink"/>
            <w:lang w:val="en-GB"/>
          </w:rPr>
          <w:t>The German Federal Institute for Risk Assessment (BfR)</w:t>
        </w:r>
      </w:hyperlink>
      <w:r w:rsidR="004345D3">
        <w:rPr>
          <w:rStyle w:val="Hyperlink"/>
          <w:lang w:val="en-GB"/>
        </w:rPr>
        <w:t>,</w:t>
      </w:r>
      <w:r>
        <w:rPr>
          <w:lang w:val="en-GB"/>
        </w:rPr>
        <w:t xml:space="preserve"> </w:t>
      </w:r>
      <w:hyperlink r:id="rId14" w:history="1">
        <w:r w:rsidRPr="0043644E">
          <w:rPr>
            <w:rStyle w:val="Hyperlink"/>
            <w:lang w:val="en-GB"/>
          </w:rPr>
          <w:t>the Dutch National Institute for Public Health and the Environment (RIVM)</w:t>
        </w:r>
      </w:hyperlink>
      <w:r w:rsidR="004345D3">
        <w:rPr>
          <w:rStyle w:val="Hyperlink"/>
          <w:lang w:val="en-GB"/>
        </w:rPr>
        <w:t>,</w:t>
      </w:r>
      <w:r>
        <w:rPr>
          <w:lang w:val="en-GB"/>
        </w:rPr>
        <w:t xml:space="preserve"> </w:t>
      </w:r>
      <w:hyperlink r:id="rId15" w:history="1">
        <w:r w:rsidRPr="0043644E">
          <w:rPr>
            <w:rStyle w:val="Hyperlink"/>
            <w:lang w:val="en-GB"/>
          </w:rPr>
          <w:t xml:space="preserve">the Spanish Agency for Food Safety and Nutrition </w:t>
        </w:r>
        <w:r w:rsidRPr="0043644E">
          <w:rPr>
            <w:rStyle w:val="Hyperlink"/>
            <w:lang w:val="en-GB"/>
          </w:rPr>
          <w:lastRenderedPageBreak/>
          <w:t>(AESAN)</w:t>
        </w:r>
      </w:hyperlink>
      <w:r w:rsidR="002A22E9">
        <w:rPr>
          <w:lang w:val="en-GB"/>
        </w:rPr>
        <w:t>.</w:t>
      </w:r>
      <w:r w:rsidR="00BF26C1" w:rsidRPr="00BF26C1">
        <w:rPr>
          <w:lang w:val="en-GB"/>
        </w:rPr>
        <w:t xml:space="preserve"> </w:t>
      </w:r>
      <w:r w:rsidR="00BF26C1">
        <w:rPr>
          <w:lang w:val="en-GB"/>
        </w:rPr>
        <w:t xml:space="preserve">It should be noted that the RIVM database refers to </w:t>
      </w:r>
      <w:r w:rsidR="004345D3">
        <w:rPr>
          <w:lang w:val="en-GB"/>
        </w:rPr>
        <w:t xml:space="preserve">the </w:t>
      </w:r>
      <w:r w:rsidR="00BF26C1">
        <w:rPr>
          <w:lang w:val="en-GB"/>
        </w:rPr>
        <w:t>residue definitions for risk assessment</w:t>
      </w:r>
      <w:r w:rsidR="004345D3">
        <w:rPr>
          <w:lang w:val="en-GB"/>
        </w:rPr>
        <w:t xml:space="preserve"> while the other databases refer to the residue definition for enforcement</w:t>
      </w:r>
      <w:r w:rsidR="00BF26C1">
        <w:rPr>
          <w:lang w:val="en-GB"/>
        </w:rPr>
        <w:t>.</w:t>
      </w:r>
      <w:r w:rsidR="00A06B65">
        <w:rPr>
          <w:lang w:val="en-GB"/>
        </w:rPr>
        <w:t xml:space="preserve"> Sometimes, the definitions for risk assessment and enforcement can differ e.g. the </w:t>
      </w:r>
      <w:r w:rsidR="00677AFE">
        <w:rPr>
          <w:lang w:val="en-GB"/>
        </w:rPr>
        <w:t xml:space="preserve">plant residue </w:t>
      </w:r>
      <w:r w:rsidR="00A06B65">
        <w:rPr>
          <w:lang w:val="en-GB"/>
        </w:rPr>
        <w:t>definition</w:t>
      </w:r>
      <w:r w:rsidR="00A06B65" w:rsidRPr="00A06B65">
        <w:rPr>
          <w:lang w:val="en-GB"/>
        </w:rPr>
        <w:t xml:space="preserve"> for risk assessment</w:t>
      </w:r>
      <w:r w:rsidR="00A06B65">
        <w:rPr>
          <w:lang w:val="en-GB"/>
        </w:rPr>
        <w:t>: s</w:t>
      </w:r>
      <w:r w:rsidR="00A06B65" w:rsidRPr="00A06B65">
        <w:rPr>
          <w:lang w:val="en-GB"/>
        </w:rPr>
        <w:t>um of fluopyram and fluopyram-benzamide (M25), expressed as fluopyram</w:t>
      </w:r>
      <w:r w:rsidR="00A06B65">
        <w:rPr>
          <w:lang w:val="en-GB"/>
        </w:rPr>
        <w:t xml:space="preserve"> and</w:t>
      </w:r>
      <w:r w:rsidR="00A06B65" w:rsidRPr="00A06B65">
        <w:t xml:space="preserve"> </w:t>
      </w:r>
      <w:r w:rsidR="00A06B65" w:rsidRPr="00A06B65">
        <w:rPr>
          <w:lang w:val="en-GB"/>
        </w:rPr>
        <w:t xml:space="preserve">the </w:t>
      </w:r>
      <w:r w:rsidR="00677AFE">
        <w:rPr>
          <w:lang w:val="en-GB"/>
        </w:rPr>
        <w:t xml:space="preserve">plant residue </w:t>
      </w:r>
      <w:r w:rsidR="00A06B65" w:rsidRPr="00A06B65">
        <w:rPr>
          <w:lang w:val="en-GB"/>
        </w:rPr>
        <w:t>d</w:t>
      </w:r>
      <w:r w:rsidR="00677AFE">
        <w:rPr>
          <w:lang w:val="en-GB"/>
        </w:rPr>
        <w:t>efinition</w:t>
      </w:r>
      <w:r w:rsidR="00A06B65" w:rsidRPr="00A06B65">
        <w:rPr>
          <w:lang w:val="en-GB"/>
        </w:rPr>
        <w:t xml:space="preserve"> for enforcement</w:t>
      </w:r>
      <w:r w:rsidR="00A06B65">
        <w:rPr>
          <w:lang w:val="en-GB"/>
        </w:rPr>
        <w:t xml:space="preserve">: </w:t>
      </w:r>
      <w:r w:rsidR="00A06B65" w:rsidRPr="00A06B65">
        <w:rPr>
          <w:lang w:val="en-GB"/>
        </w:rPr>
        <w:t>fluopyram</w:t>
      </w:r>
      <w:r w:rsidR="00A06B65">
        <w:rPr>
          <w:lang w:val="en-GB"/>
        </w:rPr>
        <w:t>.</w:t>
      </w:r>
      <w:r w:rsidR="00677AFE" w:rsidRPr="00677AFE">
        <w:t xml:space="preserve"> </w:t>
      </w:r>
      <w:hyperlink r:id="rId16" w:history="1">
        <w:r w:rsidR="00607787" w:rsidRPr="00607787">
          <w:rPr>
            <w:rStyle w:val="Hyperlink"/>
          </w:rPr>
          <w:t>OECD Guidance for the Definition of Residue</w:t>
        </w:r>
      </w:hyperlink>
      <w:r w:rsidR="00607787">
        <w:t xml:space="preserve"> provides a common approach to residue identification of the pesticide and its metabolites and degradation products.</w:t>
      </w:r>
    </w:p>
    <w:p w14:paraId="795EC488" w14:textId="5F64A9AF" w:rsidR="00F85DC2" w:rsidRPr="005F77B4" w:rsidRDefault="002A22E9" w:rsidP="00BF26C1">
      <w:pPr>
        <w:jc w:val="both"/>
        <w:rPr>
          <w:lang w:val="en-GB"/>
        </w:rPr>
      </w:pPr>
      <w:r>
        <w:t xml:space="preserve">In addition, </w:t>
      </w:r>
      <w:r w:rsidR="00BD0108">
        <w:t xml:space="preserve">the processing factors listed in </w:t>
      </w:r>
      <w:hyperlink r:id="rId17" w:history="1">
        <w:r w:rsidR="00BC7F70" w:rsidRPr="0043644E">
          <w:rPr>
            <w:rStyle w:val="Hyperlink"/>
            <w:lang w:val="en-GB"/>
          </w:rPr>
          <w:t>the Joint Meeting on Pesticide Residues (JMPR) reports</w:t>
        </w:r>
      </w:hyperlink>
      <w:r w:rsidR="00BC7F70">
        <w:rPr>
          <w:lang w:val="en-GB"/>
        </w:rPr>
        <w:t xml:space="preserve"> could be used, </w:t>
      </w:r>
      <w:r w:rsidR="00BC7F70" w:rsidRPr="0092137F">
        <w:rPr>
          <w:lang w:val="en-GB"/>
        </w:rPr>
        <w:t xml:space="preserve">provided that the residue definitions </w:t>
      </w:r>
      <w:r w:rsidR="004345D3">
        <w:rPr>
          <w:lang w:val="en-GB"/>
        </w:rPr>
        <w:t xml:space="preserve">for enforcement </w:t>
      </w:r>
      <w:r w:rsidR="00BC7F70" w:rsidRPr="0092137F">
        <w:rPr>
          <w:lang w:val="en-GB"/>
        </w:rPr>
        <w:t>derived by JMPR match with the EU residue definitions</w:t>
      </w:r>
      <w:r w:rsidR="004345D3">
        <w:rPr>
          <w:lang w:val="en-GB"/>
        </w:rPr>
        <w:t xml:space="preserve"> for enforcement</w:t>
      </w:r>
      <w:r w:rsidR="00BF26C1">
        <w:rPr>
          <w:lang w:val="en-GB"/>
        </w:rPr>
        <w:t xml:space="preserve">. </w:t>
      </w:r>
    </w:p>
    <w:p w14:paraId="2F3B6D28" w14:textId="45DAF466" w:rsidR="00CF2BFC" w:rsidRPr="00CF2BFC" w:rsidRDefault="00CF2BFC" w:rsidP="00C9399A">
      <w:pPr>
        <w:jc w:val="both"/>
        <w:rPr>
          <w:i/>
          <w:lang w:val="en-GB"/>
        </w:rPr>
      </w:pPr>
      <w:r w:rsidRPr="00CF2BFC">
        <w:rPr>
          <w:i/>
          <w:lang w:val="en-GB"/>
        </w:rPr>
        <w:t>Other sources</w:t>
      </w:r>
    </w:p>
    <w:p w14:paraId="6F67D712" w14:textId="7B44B4A7" w:rsidR="00F12367" w:rsidRDefault="00F12367" w:rsidP="00C9399A">
      <w:pPr>
        <w:jc w:val="both"/>
        <w:rPr>
          <w:lang w:val="en-GB"/>
        </w:rPr>
      </w:pPr>
      <w:r>
        <w:rPr>
          <w:lang w:val="en-GB"/>
        </w:rPr>
        <w:t xml:space="preserve">If no processing factors are available in the EFSA database, </w:t>
      </w:r>
      <w:r w:rsidR="00F7679C">
        <w:rPr>
          <w:lang w:val="en-GB"/>
        </w:rPr>
        <w:t xml:space="preserve">more recent </w:t>
      </w:r>
      <w:r w:rsidR="00BD0108">
        <w:rPr>
          <w:lang w:val="en-GB"/>
        </w:rPr>
        <w:t>EFSA publication</w:t>
      </w:r>
      <w:r w:rsidR="00F7679C">
        <w:rPr>
          <w:lang w:val="en-GB"/>
        </w:rPr>
        <w:t>s</w:t>
      </w:r>
      <w:r w:rsidR="00BD0108">
        <w:rPr>
          <w:lang w:val="en-GB"/>
        </w:rPr>
        <w:t xml:space="preserve">, </w:t>
      </w:r>
      <w:r>
        <w:rPr>
          <w:lang w:val="en-GB"/>
        </w:rPr>
        <w:t>national database</w:t>
      </w:r>
      <w:r w:rsidR="00F7679C">
        <w:rPr>
          <w:lang w:val="en-GB"/>
        </w:rPr>
        <w:t>s</w:t>
      </w:r>
      <w:r>
        <w:rPr>
          <w:lang w:val="en-GB"/>
        </w:rPr>
        <w:t>, EF</w:t>
      </w:r>
      <w:r w:rsidR="0054038C">
        <w:rPr>
          <w:lang w:val="en-GB"/>
        </w:rPr>
        <w:t xml:space="preserve">SA publication or </w:t>
      </w:r>
      <w:r>
        <w:rPr>
          <w:lang w:val="en-GB"/>
        </w:rPr>
        <w:t>JMPR reports</w:t>
      </w:r>
      <w:r w:rsidR="00BD0108">
        <w:rPr>
          <w:lang w:val="en-GB"/>
        </w:rPr>
        <w:t xml:space="preserve"> </w:t>
      </w:r>
      <w:r w:rsidR="00AE509F">
        <w:rPr>
          <w:lang w:val="en-GB"/>
        </w:rPr>
        <w:t>and there are no possibilities for extrapolatio</w:t>
      </w:r>
      <w:r w:rsidR="00664CFF">
        <w:rPr>
          <w:lang w:val="en-GB"/>
        </w:rPr>
        <w:t xml:space="preserve">n of </w:t>
      </w:r>
      <w:r w:rsidR="00EA1928">
        <w:rPr>
          <w:lang w:val="en-GB"/>
        </w:rPr>
        <w:t xml:space="preserve">substance specific </w:t>
      </w:r>
      <w:r w:rsidR="00664CFF">
        <w:rPr>
          <w:lang w:val="en-GB"/>
        </w:rPr>
        <w:t xml:space="preserve">processing factors, </w:t>
      </w:r>
      <w:r w:rsidR="006705DF">
        <w:rPr>
          <w:lang w:val="en-GB"/>
        </w:rPr>
        <w:t>the</w:t>
      </w:r>
      <w:r>
        <w:rPr>
          <w:lang w:val="en-GB"/>
        </w:rPr>
        <w:t xml:space="preserve"> alternative sources </w:t>
      </w:r>
      <w:r w:rsidR="006705DF">
        <w:rPr>
          <w:lang w:val="en-GB"/>
        </w:rPr>
        <w:t>e.g. the</w:t>
      </w:r>
      <w:r>
        <w:rPr>
          <w:lang w:val="en-GB"/>
        </w:rPr>
        <w:t xml:space="preserve"> </w:t>
      </w:r>
      <w:r w:rsidRPr="00F12367">
        <w:rPr>
          <w:lang w:val="en-GB"/>
        </w:rPr>
        <w:t xml:space="preserve">values provided by </w:t>
      </w:r>
      <w:r w:rsidR="00BD2EFF">
        <w:rPr>
          <w:lang w:val="en-GB"/>
        </w:rPr>
        <w:t>food business operators</w:t>
      </w:r>
      <w:r w:rsidR="008D11EA">
        <w:rPr>
          <w:lang w:val="en-GB"/>
        </w:rPr>
        <w:t xml:space="preserve"> or</w:t>
      </w:r>
      <w:r w:rsidR="00BD2EFF">
        <w:rPr>
          <w:lang w:val="en-GB"/>
        </w:rPr>
        <w:t xml:space="preserve">, pesticides </w:t>
      </w:r>
      <w:r w:rsidRPr="00F12367">
        <w:rPr>
          <w:lang w:val="en-GB"/>
        </w:rPr>
        <w:t>industry, generic</w:t>
      </w:r>
      <w:r>
        <w:rPr>
          <w:lang w:val="en-GB"/>
        </w:rPr>
        <w:t xml:space="preserve"> processing</w:t>
      </w:r>
      <w:r w:rsidRPr="00F12367">
        <w:rPr>
          <w:lang w:val="en-GB"/>
        </w:rPr>
        <w:t xml:space="preserve"> factors,</w:t>
      </w:r>
      <w:r>
        <w:rPr>
          <w:lang w:val="en-GB"/>
        </w:rPr>
        <w:t xml:space="preserve"> data</w:t>
      </w:r>
      <w:r w:rsidRPr="00F12367">
        <w:rPr>
          <w:lang w:val="en-GB"/>
        </w:rPr>
        <w:t xml:space="preserve"> </w:t>
      </w:r>
      <w:r>
        <w:rPr>
          <w:lang w:val="en-GB"/>
        </w:rPr>
        <w:t>from the literature</w:t>
      </w:r>
      <w:r w:rsidR="00BD2EFF">
        <w:rPr>
          <w:lang w:val="en-GB"/>
        </w:rPr>
        <w:t>,</w:t>
      </w:r>
      <w:r>
        <w:rPr>
          <w:lang w:val="en-GB"/>
        </w:rPr>
        <w:t xml:space="preserve"> </w:t>
      </w:r>
      <w:r w:rsidRPr="00F12367">
        <w:rPr>
          <w:lang w:val="en-GB"/>
        </w:rPr>
        <w:t>etc</w:t>
      </w:r>
      <w:r>
        <w:rPr>
          <w:lang w:val="en-GB"/>
        </w:rPr>
        <w:t>. could be used.</w:t>
      </w:r>
    </w:p>
    <w:p w14:paraId="127E076C" w14:textId="3C5A650F" w:rsidR="0054038C" w:rsidRDefault="0054038C" w:rsidP="00C9399A">
      <w:pPr>
        <w:jc w:val="both"/>
        <w:rPr>
          <w:lang w:val="en-GB"/>
        </w:rPr>
      </w:pPr>
      <w:r>
        <w:rPr>
          <w:lang w:val="en-GB"/>
        </w:rPr>
        <w:t>For drying factors</w:t>
      </w:r>
      <w:r w:rsidR="00D619CD">
        <w:rPr>
          <w:lang w:val="en-GB"/>
        </w:rPr>
        <w:t>, different food</w:t>
      </w:r>
      <w:r>
        <w:rPr>
          <w:lang w:val="en-GB"/>
        </w:rPr>
        <w:t xml:space="preserve"> </w:t>
      </w:r>
      <w:r w:rsidR="00E04BBF" w:rsidRPr="00E04BBF">
        <w:rPr>
          <w:lang w:val="en-GB"/>
        </w:rPr>
        <w:t xml:space="preserve">sectors </w:t>
      </w:r>
      <w:r w:rsidR="00E04BBF">
        <w:rPr>
          <w:lang w:val="en-GB"/>
        </w:rPr>
        <w:t>have established list</w:t>
      </w:r>
      <w:r w:rsidR="003D522E">
        <w:rPr>
          <w:lang w:val="en-GB"/>
        </w:rPr>
        <w:t>s</w:t>
      </w:r>
      <w:r w:rsidR="00D619CD">
        <w:rPr>
          <w:lang w:val="en-GB"/>
        </w:rPr>
        <w:t xml:space="preserve"> with drying factors</w:t>
      </w:r>
      <w:r w:rsidR="00E04BBF">
        <w:rPr>
          <w:lang w:val="en-GB"/>
        </w:rPr>
        <w:t xml:space="preserve"> at the national </w:t>
      </w:r>
      <w:r w:rsidR="003D522E">
        <w:rPr>
          <w:lang w:val="en-GB"/>
        </w:rPr>
        <w:t>or</w:t>
      </w:r>
      <w:r w:rsidR="00E04BBF">
        <w:rPr>
          <w:lang w:val="en-GB"/>
        </w:rPr>
        <w:t xml:space="preserve"> European level. </w:t>
      </w:r>
      <w:r>
        <w:rPr>
          <w:lang w:val="en-GB"/>
        </w:rPr>
        <w:t>However</w:t>
      </w:r>
      <w:r w:rsidR="002D3960">
        <w:rPr>
          <w:lang w:val="en-GB"/>
        </w:rPr>
        <w:t>,</w:t>
      </w:r>
      <w:r>
        <w:rPr>
          <w:lang w:val="en-GB"/>
        </w:rPr>
        <w:t xml:space="preserve"> the drying factors in those list</w:t>
      </w:r>
      <w:r w:rsidR="00D2532A">
        <w:rPr>
          <w:lang w:val="en-GB"/>
        </w:rPr>
        <w:t>s</w:t>
      </w:r>
      <w:r>
        <w:rPr>
          <w:lang w:val="en-GB"/>
        </w:rPr>
        <w:t xml:space="preserve"> may differ due to </w:t>
      </w:r>
      <w:r w:rsidR="00BD2EFF">
        <w:rPr>
          <w:lang w:val="en-GB"/>
        </w:rPr>
        <w:t xml:space="preserve">the different </w:t>
      </w:r>
      <w:r>
        <w:rPr>
          <w:lang w:val="en-GB"/>
        </w:rPr>
        <w:t xml:space="preserve">methods </w:t>
      </w:r>
      <w:r w:rsidR="00DE0CF8">
        <w:rPr>
          <w:lang w:val="en-GB"/>
        </w:rPr>
        <w:t>used for calculating the</w:t>
      </w:r>
      <w:r w:rsidR="00BD2EFF">
        <w:rPr>
          <w:lang w:val="en-GB"/>
        </w:rPr>
        <w:t>m.</w:t>
      </w:r>
      <w:r w:rsidR="008C1285">
        <w:rPr>
          <w:lang w:val="en-GB"/>
        </w:rPr>
        <w:t xml:space="preserve"> </w:t>
      </w:r>
      <w:r>
        <w:rPr>
          <w:lang w:val="en-GB"/>
        </w:rPr>
        <w:t>The</w:t>
      </w:r>
      <w:r w:rsidR="002020E8">
        <w:rPr>
          <w:lang w:val="en-GB"/>
        </w:rPr>
        <w:t xml:space="preserve"> preference </w:t>
      </w:r>
      <w:r w:rsidR="00EB0D5B">
        <w:rPr>
          <w:lang w:val="en-GB"/>
        </w:rPr>
        <w:t>in case</w:t>
      </w:r>
      <w:r w:rsidR="00EB0D5B" w:rsidRPr="00EB0D5B">
        <w:rPr>
          <w:lang w:val="en-GB"/>
        </w:rPr>
        <w:t xml:space="preserve"> there are no substance specific processing factors for the drying process </w:t>
      </w:r>
      <w:r w:rsidR="002020E8">
        <w:rPr>
          <w:lang w:val="en-GB"/>
        </w:rPr>
        <w:t xml:space="preserve">should be given to the national databases and </w:t>
      </w:r>
      <w:r w:rsidR="00430624">
        <w:rPr>
          <w:lang w:val="en-GB"/>
        </w:rPr>
        <w:t xml:space="preserve">only if the </w:t>
      </w:r>
      <w:r w:rsidR="00BD2EFF">
        <w:rPr>
          <w:lang w:val="en-GB"/>
        </w:rPr>
        <w:t xml:space="preserve">necessary </w:t>
      </w:r>
      <w:r w:rsidR="00430624">
        <w:rPr>
          <w:lang w:val="en-GB"/>
        </w:rPr>
        <w:t>information is not available, databases provided by industry or data from literature could</w:t>
      </w:r>
      <w:r w:rsidR="000A21E0">
        <w:rPr>
          <w:lang w:val="en-GB"/>
        </w:rPr>
        <w:t xml:space="preserve"> </w:t>
      </w:r>
      <w:r w:rsidR="00430624">
        <w:rPr>
          <w:lang w:val="en-GB"/>
        </w:rPr>
        <w:t>be used if the competent authority deems this appropriate.</w:t>
      </w:r>
    </w:p>
    <w:p w14:paraId="2C489C19" w14:textId="3A9CC7F6" w:rsidR="00430624" w:rsidRDefault="00FF2483" w:rsidP="002D4515">
      <w:pPr>
        <w:jc w:val="both"/>
        <w:rPr>
          <w:rFonts w:eastAsia="Times New Roman"/>
          <w:lang w:eastAsia="de-DE"/>
        </w:rPr>
      </w:pPr>
      <w:r>
        <w:rPr>
          <w:rFonts w:eastAsia="Times New Roman"/>
          <w:lang w:eastAsia="de-DE"/>
        </w:rPr>
        <w:t xml:space="preserve">Drying factors can also be implicitly obtained from </w:t>
      </w:r>
      <w:hyperlink r:id="rId18" w:history="1">
        <w:r w:rsidRPr="00FF2483">
          <w:rPr>
            <w:rStyle w:val="Hyperlink"/>
            <w:rFonts w:eastAsia="Times New Roman"/>
            <w:lang w:eastAsia="de-DE"/>
          </w:rPr>
          <w:t>EFSA’s RPC model</w:t>
        </w:r>
      </w:hyperlink>
      <w:r>
        <w:rPr>
          <w:rFonts w:eastAsia="Times New Roman"/>
          <w:lang w:eastAsia="de-DE"/>
        </w:rPr>
        <w:t xml:space="preserve">. </w:t>
      </w:r>
      <w:r>
        <w:rPr>
          <w:lang w:val="en-GB"/>
        </w:rPr>
        <w:t>Other sources</w:t>
      </w:r>
      <w:r w:rsidR="000E3ABE">
        <w:rPr>
          <w:lang w:val="en-GB"/>
        </w:rPr>
        <w:t xml:space="preserve"> are for example </w:t>
      </w:r>
      <w:r w:rsidR="000E3ABE">
        <w:rPr>
          <w:rFonts w:eastAsia="Times New Roman"/>
          <w:lang w:eastAsia="de-DE"/>
        </w:rPr>
        <w:t xml:space="preserve">the </w:t>
      </w:r>
      <w:r w:rsidR="000E3ABE" w:rsidRPr="000F6063">
        <w:rPr>
          <w:rFonts w:eastAsia="Times New Roman"/>
          <w:lang w:eastAsia="de-DE"/>
        </w:rPr>
        <w:t>Souci-Fachmann-Kraut database (SFK)</w:t>
      </w:r>
      <w:r w:rsidR="00BF26C1" w:rsidRPr="00BF26C1">
        <w:rPr>
          <w:rFonts w:eastAsia="Times New Roman"/>
          <w:lang w:eastAsia="de-DE"/>
        </w:rPr>
        <w:t xml:space="preserve"> </w:t>
      </w:r>
      <w:r w:rsidR="00BF26C1">
        <w:rPr>
          <w:rFonts w:eastAsia="Times New Roman"/>
          <w:lang w:eastAsia="de-DE"/>
        </w:rPr>
        <w:t>for food composition</w:t>
      </w:r>
      <w:r w:rsidR="000E3ABE">
        <w:rPr>
          <w:rFonts w:eastAsia="Times New Roman"/>
          <w:lang w:eastAsia="de-DE"/>
        </w:rPr>
        <w:t xml:space="preserve">, </w:t>
      </w:r>
      <w:r w:rsidR="00430624">
        <w:rPr>
          <w:rFonts w:eastAsia="Times New Roman"/>
          <w:lang w:eastAsia="de-DE"/>
        </w:rPr>
        <w:t xml:space="preserve">the database from the </w:t>
      </w:r>
      <w:r w:rsidR="00430624" w:rsidRPr="00205203">
        <w:rPr>
          <w:rFonts w:eastAsia="Times New Roman"/>
          <w:lang w:eastAsia="de-DE"/>
        </w:rPr>
        <w:t>European Spice A</w:t>
      </w:r>
      <w:r w:rsidR="00430624">
        <w:rPr>
          <w:rFonts w:eastAsia="Times New Roman"/>
          <w:lang w:eastAsia="de-DE"/>
        </w:rPr>
        <w:t>ssociation</w:t>
      </w:r>
      <w:r w:rsidR="00CE368F">
        <w:rPr>
          <w:rFonts w:eastAsia="Times New Roman"/>
          <w:lang w:eastAsia="de-DE"/>
        </w:rPr>
        <w:t xml:space="preserve"> </w:t>
      </w:r>
      <w:r w:rsidR="00BF26C1">
        <w:rPr>
          <w:rFonts w:eastAsia="Times New Roman"/>
          <w:lang w:eastAsia="de-DE"/>
        </w:rPr>
        <w:t>(ESA)</w:t>
      </w:r>
      <w:r w:rsidR="00430624">
        <w:rPr>
          <w:rFonts w:eastAsia="Times New Roman"/>
          <w:lang w:eastAsia="de-DE"/>
        </w:rPr>
        <w:t xml:space="preserve">, the dataset of the </w:t>
      </w:r>
      <w:r w:rsidR="00430624">
        <w:t>Association of Organic Processors, Wholesalers and Retailers (</w:t>
      </w:r>
      <w:r w:rsidR="000E3ABE">
        <w:rPr>
          <w:rFonts w:eastAsia="Times New Roman"/>
          <w:lang w:eastAsia="de-DE"/>
        </w:rPr>
        <w:t>BNN)</w:t>
      </w:r>
      <w:r w:rsidR="00430624">
        <w:rPr>
          <w:rFonts w:eastAsia="Times New Roman"/>
          <w:lang w:eastAsia="de-DE"/>
        </w:rPr>
        <w:t xml:space="preserve"> and others. </w:t>
      </w:r>
    </w:p>
    <w:p w14:paraId="5BFE8D42" w14:textId="7B44EA0C" w:rsidR="00810478" w:rsidRPr="000727A7" w:rsidRDefault="00810478" w:rsidP="000A21E0">
      <w:pPr>
        <w:contextualSpacing/>
        <w:rPr>
          <w:rFonts w:eastAsia="Times New Roman"/>
          <w:lang w:val="en-IE" w:eastAsia="de-DE"/>
        </w:rPr>
      </w:pPr>
    </w:p>
    <w:p w14:paraId="2AE503D7" w14:textId="18891F91" w:rsidR="00E84723" w:rsidRPr="00C9399A" w:rsidRDefault="00E56EC0" w:rsidP="007E5D42">
      <w:pPr>
        <w:rPr>
          <w:b/>
          <w:lang w:val="en-IE" w:eastAsia="en-GB"/>
        </w:rPr>
      </w:pPr>
      <w:r>
        <w:rPr>
          <w:b/>
          <w:lang w:val="en-IE" w:eastAsia="en-GB"/>
        </w:rPr>
        <w:t>Relevant issues for consideration when assessing compliance with MRLs for processed/composite products</w:t>
      </w:r>
    </w:p>
    <w:p w14:paraId="4D751072" w14:textId="62EE22AD" w:rsidR="009C222C" w:rsidRDefault="009C222C" w:rsidP="00FB2D09">
      <w:pPr>
        <w:jc w:val="both"/>
        <w:rPr>
          <w:lang w:val="en-IE"/>
        </w:rPr>
      </w:pPr>
      <w:r w:rsidRPr="00FB2D09">
        <w:rPr>
          <w:lang w:val="en-IE"/>
        </w:rPr>
        <w:t xml:space="preserve">When </w:t>
      </w:r>
      <w:r w:rsidR="00E85518">
        <w:rPr>
          <w:lang w:val="en-IE"/>
        </w:rPr>
        <w:t>assessing</w:t>
      </w:r>
      <w:r w:rsidR="00E85518" w:rsidRPr="00FB2D09">
        <w:rPr>
          <w:lang w:val="en-IE"/>
        </w:rPr>
        <w:t xml:space="preserve"> </w:t>
      </w:r>
      <w:r w:rsidR="00E85518">
        <w:rPr>
          <w:lang w:val="en-IE"/>
        </w:rPr>
        <w:t xml:space="preserve">MRL compliance of pesticides residues in </w:t>
      </w:r>
      <w:r w:rsidR="0023069C" w:rsidRPr="00FB2D09">
        <w:rPr>
          <w:lang w:val="en-IE"/>
        </w:rPr>
        <w:t>food</w:t>
      </w:r>
      <w:r w:rsidR="00CB492F">
        <w:rPr>
          <w:lang w:val="en-IE"/>
        </w:rPr>
        <w:t xml:space="preserve"> and feed</w:t>
      </w:r>
      <w:r w:rsidR="00E266FE">
        <w:rPr>
          <w:lang w:val="en-IE"/>
        </w:rPr>
        <w:t>,</w:t>
      </w:r>
      <w:r w:rsidRPr="00FB2D09">
        <w:rPr>
          <w:lang w:val="en-IE"/>
        </w:rPr>
        <w:t xml:space="preserve"> which </w:t>
      </w:r>
      <w:r w:rsidR="00E85518">
        <w:rPr>
          <w:lang w:val="en-IE"/>
        </w:rPr>
        <w:t>have undergone</w:t>
      </w:r>
      <w:r w:rsidR="00E85518" w:rsidRPr="00FB2D09">
        <w:rPr>
          <w:lang w:val="en-IE"/>
        </w:rPr>
        <w:t xml:space="preserve"> dr</w:t>
      </w:r>
      <w:r w:rsidR="00E85518">
        <w:rPr>
          <w:lang w:val="en-IE"/>
        </w:rPr>
        <w:t>ying</w:t>
      </w:r>
      <w:r w:rsidR="00050249">
        <w:rPr>
          <w:lang w:val="en-IE"/>
        </w:rPr>
        <w:t xml:space="preserve"> or</w:t>
      </w:r>
      <w:r w:rsidRPr="00FB2D09">
        <w:rPr>
          <w:lang w:val="en-IE"/>
        </w:rPr>
        <w:t xml:space="preserve"> </w:t>
      </w:r>
      <w:r w:rsidR="00CB492F">
        <w:rPr>
          <w:lang w:val="en-IE"/>
        </w:rPr>
        <w:t>fractionation</w:t>
      </w:r>
      <w:r w:rsidR="00B03D14">
        <w:rPr>
          <w:lang w:val="en-IE"/>
        </w:rPr>
        <w:t>,</w:t>
      </w:r>
      <w:r w:rsidR="00E85518">
        <w:rPr>
          <w:lang w:val="en-IE"/>
        </w:rPr>
        <w:t xml:space="preserve"> have been</w:t>
      </w:r>
      <w:r w:rsidRPr="00FB2D09">
        <w:rPr>
          <w:lang w:val="en-IE"/>
        </w:rPr>
        <w:t xml:space="preserve"> processed or composed of more than one ingredient, the following</w:t>
      </w:r>
      <w:r w:rsidR="00163280">
        <w:rPr>
          <w:lang w:val="en-IE"/>
        </w:rPr>
        <w:t xml:space="preserve"> steps should be </w:t>
      </w:r>
      <w:r w:rsidR="0036375E">
        <w:rPr>
          <w:lang w:val="en-IE"/>
        </w:rPr>
        <w:t xml:space="preserve">considered with the specific information to </w:t>
      </w:r>
      <w:r w:rsidRPr="00FB2D09">
        <w:rPr>
          <w:lang w:val="en-IE"/>
        </w:rPr>
        <w:t>be taken into account:</w:t>
      </w:r>
    </w:p>
    <w:p w14:paraId="310115FE" w14:textId="5635A0E5" w:rsidR="00163280" w:rsidRDefault="00163280" w:rsidP="00163280">
      <w:pPr>
        <w:pStyle w:val="ListParagraph"/>
        <w:numPr>
          <w:ilvl w:val="0"/>
          <w:numId w:val="27"/>
        </w:numPr>
        <w:jc w:val="both"/>
        <w:rPr>
          <w:lang w:val="en-GB"/>
        </w:rPr>
      </w:pPr>
      <w:r w:rsidRPr="00163280">
        <w:rPr>
          <w:lang w:val="en-GB"/>
        </w:rPr>
        <w:t>The recalculation of the MRLs applicable to processe</w:t>
      </w:r>
      <w:r>
        <w:rPr>
          <w:lang w:val="en-GB"/>
        </w:rPr>
        <w:t>d products according to A</w:t>
      </w:r>
      <w:r w:rsidRPr="00163280">
        <w:rPr>
          <w:lang w:val="en-GB"/>
        </w:rPr>
        <w:t xml:space="preserve">rticle 20 of </w:t>
      </w:r>
      <w:r>
        <w:rPr>
          <w:lang w:val="en-GB"/>
        </w:rPr>
        <w:t>Regulation (EC)</w:t>
      </w:r>
      <w:r w:rsidRPr="00163280">
        <w:rPr>
          <w:lang w:val="en-GB"/>
        </w:rPr>
        <w:t xml:space="preserve"> 396/2005.</w:t>
      </w:r>
    </w:p>
    <w:p w14:paraId="0248B4EB" w14:textId="20B14ECD" w:rsidR="0036375E" w:rsidRDefault="0036375E" w:rsidP="0036375E">
      <w:pPr>
        <w:pStyle w:val="ListParagraph"/>
        <w:numPr>
          <w:ilvl w:val="0"/>
          <w:numId w:val="29"/>
        </w:numPr>
        <w:jc w:val="both"/>
        <w:rPr>
          <w:lang w:val="en-GB"/>
        </w:rPr>
      </w:pPr>
      <w:r w:rsidRPr="0036375E">
        <w:rPr>
          <w:lang w:val="en-GB"/>
        </w:rPr>
        <w:t xml:space="preserve">changes of the concentration of the </w:t>
      </w:r>
      <w:r w:rsidR="00B03D14">
        <w:rPr>
          <w:lang w:val="en-GB"/>
        </w:rPr>
        <w:t>residue</w:t>
      </w:r>
      <w:r w:rsidRPr="0036375E">
        <w:rPr>
          <w:lang w:val="en-GB"/>
        </w:rPr>
        <w:t xml:space="preserve"> caused by water loss by drying or dilution (with water) processes;</w:t>
      </w:r>
    </w:p>
    <w:p w14:paraId="46355234" w14:textId="0876CD06" w:rsidR="0036375E" w:rsidRDefault="0036375E" w:rsidP="0036375E">
      <w:pPr>
        <w:pStyle w:val="ListParagraph"/>
        <w:numPr>
          <w:ilvl w:val="0"/>
          <w:numId w:val="29"/>
        </w:numPr>
        <w:jc w:val="both"/>
        <w:rPr>
          <w:lang w:val="en-GB"/>
        </w:rPr>
      </w:pPr>
      <w:r w:rsidRPr="0036375E">
        <w:rPr>
          <w:lang w:val="en-GB"/>
        </w:rPr>
        <w:t xml:space="preserve">changes of the concentration of the </w:t>
      </w:r>
      <w:r w:rsidR="00B03D14">
        <w:rPr>
          <w:lang w:val="en-GB"/>
        </w:rPr>
        <w:t>residue</w:t>
      </w:r>
      <w:r w:rsidRPr="0036375E">
        <w:rPr>
          <w:lang w:val="en-GB"/>
        </w:rPr>
        <w:t xml:space="preserve"> caused by processing and by removing part of the products (e.g. peeling, pitting</w:t>
      </w:r>
      <w:r w:rsidR="00534E88">
        <w:rPr>
          <w:lang w:val="en-GB"/>
        </w:rPr>
        <w:t>, extracting oil</w:t>
      </w:r>
      <w:r w:rsidRPr="0036375E">
        <w:rPr>
          <w:lang w:val="en-GB"/>
        </w:rPr>
        <w:t xml:space="preserve"> or in milling fractions like bran);</w:t>
      </w:r>
    </w:p>
    <w:p w14:paraId="03177F2C" w14:textId="77777777" w:rsidR="0036375E" w:rsidRPr="0036375E" w:rsidRDefault="0036375E" w:rsidP="0036375E">
      <w:pPr>
        <w:pStyle w:val="ListParagraph"/>
        <w:numPr>
          <w:ilvl w:val="0"/>
          <w:numId w:val="29"/>
        </w:numPr>
        <w:jc w:val="both"/>
        <w:rPr>
          <w:lang w:val="en-GB"/>
        </w:rPr>
      </w:pPr>
      <w:r w:rsidRPr="0036375E">
        <w:rPr>
          <w:lang w:val="en-GB"/>
        </w:rPr>
        <w:lastRenderedPageBreak/>
        <w:t>the relative proportions of the ingredients in composite food and feed (i.e. food or feed containing more than one ingredient);</w:t>
      </w:r>
      <w:r w:rsidRPr="0036375E">
        <w:rPr>
          <w:lang w:val="en-IE"/>
        </w:rPr>
        <w:t xml:space="preserve"> </w:t>
      </w:r>
    </w:p>
    <w:p w14:paraId="4ABD0D30" w14:textId="3733C72C" w:rsidR="00163280" w:rsidRPr="00FF2483" w:rsidRDefault="0036375E" w:rsidP="0036375E">
      <w:pPr>
        <w:pStyle w:val="ListParagraph"/>
        <w:numPr>
          <w:ilvl w:val="0"/>
          <w:numId w:val="29"/>
        </w:numPr>
        <w:jc w:val="both"/>
        <w:rPr>
          <w:lang w:val="en-GB"/>
        </w:rPr>
      </w:pPr>
      <w:r>
        <w:rPr>
          <w:lang w:val="en-IE"/>
        </w:rPr>
        <w:t>the actual residue definition for enforcement of the active substance</w:t>
      </w:r>
      <w:r w:rsidR="001B7119">
        <w:rPr>
          <w:lang w:val="en-IE"/>
        </w:rPr>
        <w:t>.</w:t>
      </w:r>
    </w:p>
    <w:p w14:paraId="586CBC4C" w14:textId="1FE41285" w:rsidR="004A014E" w:rsidRPr="003703A0" w:rsidRDefault="003703A0" w:rsidP="003703A0">
      <w:pPr>
        <w:pStyle w:val="ListParagraph"/>
        <w:numPr>
          <w:ilvl w:val="0"/>
          <w:numId w:val="29"/>
        </w:numPr>
        <w:jc w:val="both"/>
        <w:rPr>
          <w:lang w:val="en-GB"/>
        </w:rPr>
      </w:pPr>
      <w:r>
        <w:rPr>
          <w:lang w:val="en-IE"/>
        </w:rPr>
        <w:t>changes of the residue concentration caused by the physico-chemical action of the process on the residue (e.g. degradation, chemical reaction, vaporisation).</w:t>
      </w:r>
    </w:p>
    <w:p w14:paraId="0D0A4FC2" w14:textId="77777777" w:rsidR="0036375E" w:rsidRPr="0036375E" w:rsidRDefault="0036375E" w:rsidP="0036375E">
      <w:pPr>
        <w:pStyle w:val="ListParagraph"/>
        <w:jc w:val="both"/>
        <w:rPr>
          <w:lang w:val="en-GB"/>
        </w:rPr>
      </w:pPr>
    </w:p>
    <w:p w14:paraId="72EE9A45" w14:textId="5E2AC0D9" w:rsidR="00163280" w:rsidRDefault="00163280" w:rsidP="00163280">
      <w:pPr>
        <w:pStyle w:val="ListParagraph"/>
        <w:numPr>
          <w:ilvl w:val="0"/>
          <w:numId w:val="27"/>
        </w:numPr>
        <w:jc w:val="both"/>
        <w:rPr>
          <w:lang w:val="en-GB"/>
        </w:rPr>
      </w:pPr>
      <w:r w:rsidRPr="00163280">
        <w:rPr>
          <w:lang w:val="en-GB"/>
        </w:rPr>
        <w:t>The assessment of the compliance of</w:t>
      </w:r>
      <w:r>
        <w:rPr>
          <w:lang w:val="en-GB"/>
        </w:rPr>
        <w:t xml:space="preserve"> the analytical result with the MRL.</w:t>
      </w:r>
    </w:p>
    <w:p w14:paraId="4ED81D4B" w14:textId="6D1415D6" w:rsidR="00163280" w:rsidRPr="00795CF3" w:rsidRDefault="0036375E" w:rsidP="00314496">
      <w:pPr>
        <w:pStyle w:val="ListParagraph"/>
        <w:numPr>
          <w:ilvl w:val="0"/>
          <w:numId w:val="32"/>
        </w:numPr>
        <w:rPr>
          <w:lang w:val="en-IE"/>
        </w:rPr>
      </w:pPr>
      <w:r w:rsidRPr="001B7119">
        <w:rPr>
          <w:lang w:val="en-IE"/>
        </w:rPr>
        <w:t>the measurement uncertainty</w:t>
      </w:r>
      <w:r w:rsidR="002D3960">
        <w:rPr>
          <w:lang w:val="en-IE"/>
        </w:rPr>
        <w:t xml:space="preserve"> (MU)</w:t>
      </w:r>
      <w:r w:rsidRPr="001B7119">
        <w:rPr>
          <w:lang w:val="en-IE"/>
        </w:rPr>
        <w:t xml:space="preserve"> (i.e. specific </w:t>
      </w:r>
      <w:r w:rsidR="002D3960">
        <w:rPr>
          <w:lang w:val="en-IE"/>
        </w:rPr>
        <w:t>MU</w:t>
      </w:r>
      <w:r w:rsidRPr="001B7119">
        <w:rPr>
          <w:lang w:val="en-IE"/>
        </w:rPr>
        <w:t xml:space="preserve"> or</w:t>
      </w:r>
      <w:r w:rsidRPr="00974B3E">
        <w:t xml:space="preserve"> </w:t>
      </w:r>
      <w:r w:rsidRPr="001B7119">
        <w:rPr>
          <w:lang w:val="en-IE"/>
        </w:rPr>
        <w:t xml:space="preserve">default </w:t>
      </w:r>
      <w:r w:rsidR="002D3960">
        <w:rPr>
          <w:lang w:val="en-IE"/>
        </w:rPr>
        <w:t>MU</w:t>
      </w:r>
      <w:r w:rsidR="001B7119">
        <w:rPr>
          <w:lang w:val="en-IE"/>
        </w:rPr>
        <w:t xml:space="preserve"> of 50%).</w:t>
      </w:r>
      <w:r w:rsidR="00795CF3">
        <w:rPr>
          <w:lang w:val="en-IE"/>
        </w:rPr>
        <w:t xml:space="preserve"> T</w:t>
      </w:r>
      <w:r w:rsidR="002D3960">
        <w:t>he measurement uncertainty</w:t>
      </w:r>
      <w:r w:rsidR="00795CF3" w:rsidRPr="00795CF3" w:rsidDel="00795CF3">
        <w:rPr>
          <w:lang w:val="en-IE"/>
        </w:rPr>
        <w:t xml:space="preserve"> </w:t>
      </w:r>
      <w:r w:rsidR="00795CF3">
        <w:rPr>
          <w:lang w:val="en-IE"/>
        </w:rPr>
        <w:t>is taken</w:t>
      </w:r>
      <w:r w:rsidR="00567FF3">
        <w:rPr>
          <w:lang w:val="en-IE"/>
        </w:rPr>
        <w:t xml:space="preserve"> only </w:t>
      </w:r>
      <w:r w:rsidR="00795CF3">
        <w:rPr>
          <w:lang w:val="en-IE"/>
        </w:rPr>
        <w:t>into account</w:t>
      </w:r>
      <w:r w:rsidR="00314496" w:rsidRPr="00314496">
        <w:t xml:space="preserve"> </w:t>
      </w:r>
      <w:r w:rsidR="00314496">
        <w:rPr>
          <w:lang w:val="en-IE"/>
        </w:rPr>
        <w:t>w</w:t>
      </w:r>
      <w:r w:rsidR="00314496" w:rsidRPr="00314496">
        <w:rPr>
          <w:lang w:val="en-IE"/>
        </w:rPr>
        <w:t>hen taking the decision on compliance or non</w:t>
      </w:r>
      <w:r w:rsidR="00A7379D">
        <w:rPr>
          <w:lang w:val="en-IE"/>
        </w:rPr>
        <w:t>-</w:t>
      </w:r>
      <w:r w:rsidR="00314496" w:rsidRPr="00314496">
        <w:rPr>
          <w:lang w:val="en-IE"/>
        </w:rPr>
        <w:t>compliance</w:t>
      </w:r>
      <w:r w:rsidR="00EC75E3">
        <w:rPr>
          <w:lang w:val="en-IE"/>
        </w:rPr>
        <w:t>.</w:t>
      </w:r>
    </w:p>
    <w:p w14:paraId="7419FF96" w14:textId="77777777" w:rsidR="001B7119" w:rsidRPr="00795CF3" w:rsidRDefault="001B7119" w:rsidP="00314496">
      <w:pPr>
        <w:pStyle w:val="ListParagraph"/>
        <w:rPr>
          <w:lang w:val="en-IE"/>
        </w:rPr>
      </w:pPr>
    </w:p>
    <w:p w14:paraId="444DDF68" w14:textId="7D2515FD" w:rsidR="00564ACF" w:rsidRDefault="00564ACF" w:rsidP="00314496">
      <w:pPr>
        <w:jc w:val="both"/>
        <w:rPr>
          <w:lang w:val="en-IE"/>
        </w:rPr>
      </w:pPr>
      <w:r w:rsidRPr="00795CF3">
        <w:rPr>
          <w:rFonts w:ascii="Calibri" w:hAnsi="Calibri" w:cs="Calibri"/>
          <w:lang w:val="en-IE"/>
        </w:rPr>
        <w:t>However, it should be stress</w:t>
      </w:r>
      <w:r w:rsidRPr="00994416">
        <w:rPr>
          <w:lang w:val="en-IE"/>
        </w:rPr>
        <w:t>ed that Article 19 prohibits the processing, and/or mixing for dilution purposes with the same or other products, of the products covered by Annex I not complying with Articles 18(1) or 20 with a view to placing them on the market as food</w:t>
      </w:r>
      <w:r w:rsidRPr="00271FD7">
        <w:rPr>
          <w:lang w:val="en-IE"/>
        </w:rPr>
        <w:t xml:space="preserve"> or feed or feeding the</w:t>
      </w:r>
      <w:r>
        <w:rPr>
          <w:lang w:val="en-IE"/>
        </w:rPr>
        <w:t>m to animals</w:t>
      </w:r>
      <w:r w:rsidRPr="00271FD7">
        <w:rPr>
          <w:lang w:val="en-IE"/>
        </w:rPr>
        <w:t>.</w:t>
      </w:r>
      <w:r w:rsidR="00456C94" w:rsidRPr="00456C94">
        <w:t xml:space="preserve"> </w:t>
      </w:r>
      <w:r w:rsidR="0063688E">
        <w:t xml:space="preserve">This principle can never be overruled by the use of a processing factor. </w:t>
      </w:r>
      <w:r w:rsidR="00586D7E">
        <w:rPr>
          <w:lang w:val="en-IE"/>
        </w:rPr>
        <w:t>In addition</w:t>
      </w:r>
      <w:r w:rsidR="000E26AB">
        <w:rPr>
          <w:lang w:val="en-IE"/>
        </w:rPr>
        <w:t>,</w:t>
      </w:r>
      <w:r w:rsidR="00456C94" w:rsidRPr="00456C94">
        <w:rPr>
          <w:lang w:val="en-IE"/>
        </w:rPr>
        <w:t xml:space="preserve"> a processing factor should not be used or taken into account if the </w:t>
      </w:r>
      <w:r w:rsidR="00586D7E">
        <w:rPr>
          <w:lang w:val="en-IE"/>
        </w:rPr>
        <w:t xml:space="preserve">active </w:t>
      </w:r>
      <w:r w:rsidR="00456C94" w:rsidRPr="00456C94">
        <w:rPr>
          <w:lang w:val="en-IE"/>
        </w:rPr>
        <w:t xml:space="preserve">substance has been added </w:t>
      </w:r>
      <w:r w:rsidR="000E26AB">
        <w:rPr>
          <w:lang w:val="en-IE"/>
        </w:rPr>
        <w:t>after process</w:t>
      </w:r>
      <w:r w:rsidR="00CB492F">
        <w:rPr>
          <w:lang w:val="en-IE"/>
        </w:rPr>
        <w:t>ing</w:t>
      </w:r>
      <w:r w:rsidR="000E26AB">
        <w:rPr>
          <w:lang w:val="en-IE"/>
        </w:rPr>
        <w:t xml:space="preserve"> (e.g. </w:t>
      </w:r>
      <w:r w:rsidR="00456C94" w:rsidRPr="00456C94">
        <w:rPr>
          <w:lang w:val="en-IE"/>
        </w:rPr>
        <w:t xml:space="preserve">a fungicide </w:t>
      </w:r>
      <w:r w:rsidR="00F55344">
        <w:rPr>
          <w:lang w:val="en-IE"/>
        </w:rPr>
        <w:t>use</w:t>
      </w:r>
      <w:r w:rsidR="00456C94" w:rsidRPr="00456C94">
        <w:rPr>
          <w:lang w:val="en-IE"/>
        </w:rPr>
        <w:t xml:space="preserve"> after drying</w:t>
      </w:r>
      <w:r w:rsidR="00CB492F" w:rsidRPr="00CB492F">
        <w:t xml:space="preserve"> </w:t>
      </w:r>
      <w:r w:rsidR="00CB492F" w:rsidRPr="00CB492F">
        <w:rPr>
          <w:lang w:val="en-IE"/>
        </w:rPr>
        <w:t>or an insecticide use in a flour storage facility</w:t>
      </w:r>
      <w:r w:rsidR="000E26AB">
        <w:rPr>
          <w:lang w:val="en-IE"/>
        </w:rPr>
        <w:t>).</w:t>
      </w:r>
    </w:p>
    <w:p w14:paraId="3FFE1EFC" w14:textId="4EAFC957" w:rsidR="002D4515" w:rsidRPr="009B7642" w:rsidRDefault="009924CA" w:rsidP="00145FF9">
      <w:pPr>
        <w:jc w:val="both"/>
        <w:rPr>
          <w:lang w:val="en-IE"/>
        </w:rPr>
      </w:pPr>
      <w:r>
        <w:rPr>
          <w:lang w:val="en-IE"/>
        </w:rPr>
        <w:t>Due to</w:t>
      </w:r>
      <w:r w:rsidR="00805357">
        <w:rPr>
          <w:lang w:val="en-IE"/>
        </w:rPr>
        <w:t xml:space="preserve"> </w:t>
      </w:r>
      <w:r w:rsidRPr="00805357">
        <w:rPr>
          <w:lang w:val="en-IE"/>
        </w:rPr>
        <w:t>physico-chemical properties of the residue</w:t>
      </w:r>
      <w:r w:rsidR="008D73AD">
        <w:rPr>
          <w:lang w:val="en-IE"/>
        </w:rPr>
        <w:t>,</w:t>
      </w:r>
      <w:r>
        <w:rPr>
          <w:lang w:val="en-IE"/>
        </w:rPr>
        <w:t xml:space="preserve"> the </w:t>
      </w:r>
      <w:r w:rsidR="00805357">
        <w:rPr>
          <w:lang w:val="en-IE"/>
        </w:rPr>
        <w:t xml:space="preserve">concentration of the residue </w:t>
      </w:r>
      <w:r w:rsidR="00805357" w:rsidRPr="00805357">
        <w:rPr>
          <w:lang w:val="en-IE"/>
        </w:rPr>
        <w:t xml:space="preserve">may decrease or increase in </w:t>
      </w:r>
      <w:r w:rsidR="009C4128">
        <w:rPr>
          <w:lang w:val="en-IE"/>
        </w:rPr>
        <w:t xml:space="preserve">the </w:t>
      </w:r>
      <w:r w:rsidR="00805357" w:rsidRPr="00805357">
        <w:rPr>
          <w:lang w:val="en-IE"/>
        </w:rPr>
        <w:t xml:space="preserve">processed </w:t>
      </w:r>
      <w:r w:rsidR="00805357">
        <w:rPr>
          <w:lang w:val="en-IE"/>
        </w:rPr>
        <w:t>product</w:t>
      </w:r>
      <w:r w:rsidR="00805357" w:rsidRPr="00805357">
        <w:rPr>
          <w:lang w:val="en-IE"/>
        </w:rPr>
        <w:t xml:space="preserve"> compared to the initial concentration in the </w:t>
      </w:r>
      <w:r w:rsidR="0093364F" w:rsidRPr="0093364F">
        <w:rPr>
          <w:lang w:val="en-IE"/>
        </w:rPr>
        <w:t xml:space="preserve">relevant </w:t>
      </w:r>
      <w:r w:rsidR="00793757">
        <w:rPr>
          <w:lang w:val="en-IE"/>
        </w:rPr>
        <w:t xml:space="preserve">unprocessed </w:t>
      </w:r>
      <w:r w:rsidR="0093364F" w:rsidRPr="0093364F">
        <w:rPr>
          <w:lang w:val="en-IE"/>
        </w:rPr>
        <w:t>product covered by Annex I</w:t>
      </w:r>
      <w:r w:rsidR="00805357">
        <w:rPr>
          <w:lang w:val="en-IE"/>
        </w:rPr>
        <w:t xml:space="preserve">. </w:t>
      </w:r>
      <w:r w:rsidR="00D2532A">
        <w:rPr>
          <w:lang w:val="en-IE"/>
        </w:rPr>
        <w:t>Where</w:t>
      </w:r>
      <w:r w:rsidR="00670089" w:rsidRPr="00670089">
        <w:rPr>
          <w:lang w:val="en-IE"/>
        </w:rPr>
        <w:t xml:space="preserve"> the residue definition for </w:t>
      </w:r>
      <w:r w:rsidR="00303690">
        <w:rPr>
          <w:lang w:val="en-IE"/>
        </w:rPr>
        <w:t>enforcement</w:t>
      </w:r>
      <w:r w:rsidR="00303690" w:rsidRPr="00670089">
        <w:rPr>
          <w:lang w:val="en-IE"/>
        </w:rPr>
        <w:t xml:space="preserve"> </w:t>
      </w:r>
      <w:r w:rsidR="00670089" w:rsidRPr="00670089">
        <w:rPr>
          <w:lang w:val="en-IE"/>
        </w:rPr>
        <w:t xml:space="preserve">is the same for </w:t>
      </w:r>
      <w:r w:rsidR="00793757">
        <w:rPr>
          <w:lang w:val="en-IE"/>
        </w:rPr>
        <w:t xml:space="preserve">the </w:t>
      </w:r>
      <w:r w:rsidR="00670089" w:rsidRPr="00670089">
        <w:rPr>
          <w:lang w:val="en-IE"/>
        </w:rPr>
        <w:t xml:space="preserve">processed and </w:t>
      </w:r>
      <w:r w:rsidR="00793757">
        <w:rPr>
          <w:lang w:val="en-IE"/>
        </w:rPr>
        <w:t xml:space="preserve">the </w:t>
      </w:r>
      <w:r w:rsidR="008C1D42" w:rsidRPr="008C1D42">
        <w:rPr>
          <w:lang w:val="en-IE"/>
        </w:rPr>
        <w:t xml:space="preserve">relevant </w:t>
      </w:r>
      <w:r w:rsidR="00793757">
        <w:rPr>
          <w:lang w:val="en-IE"/>
        </w:rPr>
        <w:t xml:space="preserve">unprocessed </w:t>
      </w:r>
      <w:r w:rsidR="008C1D42" w:rsidRPr="008C1D42">
        <w:rPr>
          <w:lang w:val="en-IE"/>
        </w:rPr>
        <w:t>product covered by Annex I</w:t>
      </w:r>
      <w:r w:rsidR="00670089" w:rsidRPr="00670089">
        <w:rPr>
          <w:lang w:val="en-IE"/>
        </w:rPr>
        <w:t xml:space="preserve">, the </w:t>
      </w:r>
      <w:r w:rsidR="00670089">
        <w:rPr>
          <w:lang w:val="en-IE"/>
        </w:rPr>
        <w:t>processing factor</w:t>
      </w:r>
      <w:r w:rsidR="00670089" w:rsidRPr="00670089">
        <w:rPr>
          <w:lang w:val="en-IE"/>
        </w:rPr>
        <w:t xml:space="preserve"> is derived as the ratio of residues (according to the residue definition for </w:t>
      </w:r>
      <w:r w:rsidR="00303690">
        <w:rPr>
          <w:lang w:val="en-IE"/>
        </w:rPr>
        <w:t>enforcement</w:t>
      </w:r>
      <w:r w:rsidR="00670089" w:rsidRPr="00670089">
        <w:rPr>
          <w:lang w:val="en-IE"/>
        </w:rPr>
        <w:t xml:space="preserve">) in processed products and the residues in the </w:t>
      </w:r>
      <w:r w:rsidR="008C1D42" w:rsidRPr="008C1D42">
        <w:rPr>
          <w:lang w:val="en-IE"/>
        </w:rPr>
        <w:t xml:space="preserve">relevant </w:t>
      </w:r>
      <w:r w:rsidR="00894539">
        <w:rPr>
          <w:lang w:val="en-IE"/>
        </w:rPr>
        <w:t xml:space="preserve">unprocessed </w:t>
      </w:r>
      <w:r w:rsidR="008C1D42" w:rsidRPr="008C1D42">
        <w:rPr>
          <w:lang w:val="en-IE"/>
        </w:rPr>
        <w:t xml:space="preserve">product covered by Annex I </w:t>
      </w:r>
      <w:r w:rsidR="00670089" w:rsidRPr="00670089">
        <w:rPr>
          <w:lang w:val="en-IE"/>
        </w:rPr>
        <w:t xml:space="preserve">(residue definition for </w:t>
      </w:r>
      <w:r w:rsidR="00303690">
        <w:rPr>
          <w:lang w:val="en-IE"/>
        </w:rPr>
        <w:t>enforcement</w:t>
      </w:r>
      <w:r w:rsidR="00670089">
        <w:rPr>
          <w:lang w:val="en-IE"/>
        </w:rPr>
        <w:t>).</w:t>
      </w:r>
      <w:r w:rsidR="00806701">
        <w:rPr>
          <w:lang w:val="en-IE"/>
        </w:rPr>
        <w:t xml:space="preserve"> </w:t>
      </w:r>
      <w:r w:rsidR="00D2532A">
        <w:rPr>
          <w:lang w:val="en-IE"/>
        </w:rPr>
        <w:t>Where</w:t>
      </w:r>
      <w:r w:rsidR="00670089" w:rsidRPr="00670089">
        <w:rPr>
          <w:lang w:val="en-IE"/>
        </w:rPr>
        <w:t xml:space="preserve"> the </w:t>
      </w:r>
      <w:r w:rsidR="00670089">
        <w:rPr>
          <w:lang w:val="en-IE"/>
        </w:rPr>
        <w:t>residue definition</w:t>
      </w:r>
      <w:r w:rsidR="00670089" w:rsidRPr="00670089">
        <w:rPr>
          <w:lang w:val="en-IE"/>
        </w:rPr>
        <w:t xml:space="preserve"> for </w:t>
      </w:r>
      <w:r w:rsidR="00303690">
        <w:rPr>
          <w:lang w:val="en-IE"/>
        </w:rPr>
        <w:t>enforcement</w:t>
      </w:r>
      <w:r w:rsidR="00303690" w:rsidRPr="00670089">
        <w:rPr>
          <w:lang w:val="en-IE"/>
        </w:rPr>
        <w:t xml:space="preserve"> </w:t>
      </w:r>
      <w:r w:rsidR="00670089" w:rsidRPr="00670089">
        <w:rPr>
          <w:lang w:val="en-IE"/>
        </w:rPr>
        <w:t xml:space="preserve">is different for processed products compared to the corresponding </w:t>
      </w:r>
      <w:r w:rsidR="008C1D42" w:rsidRPr="008C1D42">
        <w:rPr>
          <w:lang w:val="en-IE"/>
        </w:rPr>
        <w:t xml:space="preserve">relevant </w:t>
      </w:r>
      <w:r w:rsidR="00793757">
        <w:rPr>
          <w:lang w:val="en-IE"/>
        </w:rPr>
        <w:t xml:space="preserve">unprocessed </w:t>
      </w:r>
      <w:r w:rsidR="008C1D42" w:rsidRPr="008C1D42">
        <w:rPr>
          <w:lang w:val="en-IE"/>
        </w:rPr>
        <w:t>product covered by Annex I</w:t>
      </w:r>
      <w:r w:rsidR="00670089" w:rsidRPr="00670089">
        <w:rPr>
          <w:lang w:val="en-IE"/>
        </w:rPr>
        <w:t xml:space="preserve">, the </w:t>
      </w:r>
      <w:r w:rsidR="00670089">
        <w:rPr>
          <w:lang w:val="en-IE"/>
        </w:rPr>
        <w:t>processing factor is calculated as ratio</w:t>
      </w:r>
      <w:r w:rsidR="00670089" w:rsidRPr="00670089">
        <w:rPr>
          <w:lang w:val="en-IE"/>
        </w:rPr>
        <w:t xml:space="preserve"> between residues in processed products (according to </w:t>
      </w:r>
      <w:r w:rsidR="00670089">
        <w:rPr>
          <w:lang w:val="en-IE"/>
        </w:rPr>
        <w:t>residue definition</w:t>
      </w:r>
      <w:r w:rsidR="00670089" w:rsidRPr="00670089">
        <w:rPr>
          <w:lang w:val="en-IE"/>
        </w:rPr>
        <w:t xml:space="preserve"> for enforcement in processed products) to the residues in the </w:t>
      </w:r>
      <w:r w:rsidR="008C1D42" w:rsidRPr="008C1D42">
        <w:rPr>
          <w:lang w:val="en-IE"/>
        </w:rPr>
        <w:t xml:space="preserve">relevant </w:t>
      </w:r>
      <w:r w:rsidR="00923409">
        <w:rPr>
          <w:lang w:val="en-IE"/>
        </w:rPr>
        <w:t xml:space="preserve">unprocessed </w:t>
      </w:r>
      <w:r w:rsidR="008C1D42" w:rsidRPr="008C1D42">
        <w:rPr>
          <w:lang w:val="en-IE"/>
        </w:rPr>
        <w:t xml:space="preserve">product covered by Annex I </w:t>
      </w:r>
      <w:r w:rsidR="00670089" w:rsidRPr="00670089">
        <w:rPr>
          <w:lang w:val="en-IE"/>
        </w:rPr>
        <w:t xml:space="preserve">(residue definition for </w:t>
      </w:r>
      <w:r w:rsidR="00303690">
        <w:rPr>
          <w:lang w:val="en-IE"/>
        </w:rPr>
        <w:t>enforcement</w:t>
      </w:r>
      <w:r w:rsidR="00670089" w:rsidRPr="00670089">
        <w:rPr>
          <w:lang w:val="en-IE"/>
        </w:rPr>
        <w:t xml:space="preserve">). </w:t>
      </w:r>
    </w:p>
    <w:p w14:paraId="7F912256" w14:textId="7663DB26" w:rsidR="000460F3" w:rsidRPr="00C9399A" w:rsidRDefault="000460F3" w:rsidP="002D6AC5">
      <w:pPr>
        <w:jc w:val="both"/>
        <w:rPr>
          <w:b/>
          <w:lang w:val="en-GB"/>
        </w:rPr>
      </w:pPr>
      <w:r w:rsidRPr="00C9399A">
        <w:rPr>
          <w:b/>
          <w:lang w:val="en-GB"/>
        </w:rPr>
        <w:t>Application of processing factors</w:t>
      </w:r>
      <w:r>
        <w:rPr>
          <w:b/>
          <w:lang w:val="en-GB"/>
        </w:rPr>
        <w:t xml:space="preserve"> </w:t>
      </w:r>
      <w:r w:rsidR="00FD2B2B">
        <w:rPr>
          <w:b/>
          <w:lang w:val="en-GB"/>
        </w:rPr>
        <w:t>to MRLs</w:t>
      </w:r>
    </w:p>
    <w:p w14:paraId="2C74F28C" w14:textId="4FD52593" w:rsidR="003D409D" w:rsidRDefault="00564ACF" w:rsidP="003D409D">
      <w:pPr>
        <w:jc w:val="both"/>
      </w:pPr>
      <w:r w:rsidRPr="00564ACF">
        <w:rPr>
          <w:lang w:val="en-GB"/>
        </w:rPr>
        <w:t xml:space="preserve">Processing </w:t>
      </w:r>
      <w:r w:rsidRPr="00564ACF">
        <w:rPr>
          <w:lang w:val="en-IE"/>
        </w:rPr>
        <w:t xml:space="preserve">factors are applicable to approved </w:t>
      </w:r>
      <w:r w:rsidR="008F0968">
        <w:rPr>
          <w:lang w:val="en-IE"/>
        </w:rPr>
        <w:t>and</w:t>
      </w:r>
      <w:r w:rsidR="008F0968" w:rsidRPr="00564ACF">
        <w:rPr>
          <w:lang w:val="en-IE"/>
        </w:rPr>
        <w:t xml:space="preserve"> </w:t>
      </w:r>
      <w:r w:rsidRPr="00564ACF">
        <w:rPr>
          <w:lang w:val="en-IE"/>
        </w:rPr>
        <w:t>non-approved active substances in the EU</w:t>
      </w:r>
      <w:r>
        <w:rPr>
          <w:lang w:val="en-IE"/>
        </w:rPr>
        <w:t xml:space="preserve"> and</w:t>
      </w:r>
      <w:r w:rsidR="001B7119">
        <w:rPr>
          <w:lang w:val="en-IE"/>
        </w:rPr>
        <w:t xml:space="preserve"> </w:t>
      </w:r>
      <w:r w:rsidR="00D30B7C">
        <w:rPr>
          <w:lang w:val="en-IE"/>
        </w:rPr>
        <w:t xml:space="preserve">refer to </w:t>
      </w:r>
      <w:r>
        <w:rPr>
          <w:lang w:val="en-GB"/>
        </w:rPr>
        <w:t xml:space="preserve">the residue definition for enforcement laid down </w:t>
      </w:r>
      <w:r w:rsidRPr="0047624E">
        <w:rPr>
          <w:lang w:val="en-GB"/>
        </w:rPr>
        <w:t>in Regulation (EC) No 396/2005</w:t>
      </w:r>
      <w:r>
        <w:rPr>
          <w:lang w:val="en-GB"/>
        </w:rPr>
        <w:t>.</w:t>
      </w:r>
      <w:r w:rsidRPr="00BF641F">
        <w:t xml:space="preserve"> </w:t>
      </w:r>
      <w:r w:rsidR="000460F3">
        <w:t xml:space="preserve">They are </w:t>
      </w:r>
      <w:r w:rsidR="00D30B7C">
        <w:t xml:space="preserve">applied also to </w:t>
      </w:r>
      <w:r w:rsidR="000460F3">
        <w:t xml:space="preserve">MRLs established at a specific LOQ or at the default level of 0.01 mg/kg. </w:t>
      </w:r>
    </w:p>
    <w:p w14:paraId="120EB09A" w14:textId="20978E3B" w:rsidR="00AA6B8D" w:rsidRDefault="003D409D" w:rsidP="003D409D">
      <w:pPr>
        <w:jc w:val="both"/>
        <w:rPr>
          <w:lang w:val="en-IE"/>
        </w:rPr>
      </w:pPr>
      <w:r w:rsidRPr="00145FF9">
        <w:t>In case several processing factors are available, it is recommended t</w:t>
      </w:r>
      <w:r>
        <w:t>o use median Pf</w:t>
      </w:r>
      <w:r w:rsidR="0063688E">
        <w:t>s</w:t>
      </w:r>
      <w:r w:rsidR="008C1285">
        <w:t xml:space="preserve"> </w:t>
      </w:r>
      <w:r w:rsidR="008C1285" w:rsidRPr="006B249B">
        <w:rPr>
          <w:lang w:val="en-IE"/>
        </w:rPr>
        <w:t xml:space="preserve">from the </w:t>
      </w:r>
      <w:r w:rsidR="008C1285" w:rsidRPr="008804FB">
        <w:rPr>
          <w:lang w:val="en-IE"/>
        </w:rPr>
        <w:t xml:space="preserve">EFSA (EU) or national </w:t>
      </w:r>
      <w:r w:rsidR="008C1285" w:rsidRPr="006B249B">
        <w:rPr>
          <w:lang w:val="en-IE"/>
        </w:rPr>
        <w:t>database</w:t>
      </w:r>
      <w:r w:rsidR="008C1285">
        <w:rPr>
          <w:lang w:val="en-IE"/>
        </w:rPr>
        <w:t>s</w:t>
      </w:r>
      <w:r>
        <w:t xml:space="preserve">. </w:t>
      </w:r>
      <w:r>
        <w:rPr>
          <w:lang w:val="en-IE"/>
        </w:rPr>
        <w:t xml:space="preserve">In case </w:t>
      </w:r>
      <w:r w:rsidR="00D30B7C">
        <w:rPr>
          <w:lang w:val="en-IE"/>
        </w:rPr>
        <w:t xml:space="preserve">only </w:t>
      </w:r>
      <w:r>
        <w:t>s</w:t>
      </w:r>
      <w:r w:rsidRPr="006B249B">
        <w:rPr>
          <w:lang w:val="en-IE"/>
        </w:rPr>
        <w:t>ingle value</w:t>
      </w:r>
      <w:r w:rsidR="0063688E">
        <w:rPr>
          <w:lang w:val="en-IE"/>
        </w:rPr>
        <w:t>s</w:t>
      </w:r>
      <w:r w:rsidRPr="006B249B">
        <w:rPr>
          <w:lang w:val="en-IE"/>
        </w:rPr>
        <w:t xml:space="preserve"> from the </w:t>
      </w:r>
      <w:r w:rsidR="008804FB" w:rsidRPr="008804FB">
        <w:rPr>
          <w:lang w:val="en-IE"/>
        </w:rPr>
        <w:t xml:space="preserve">EFSA (EU) or national </w:t>
      </w:r>
      <w:r w:rsidRPr="006B249B">
        <w:rPr>
          <w:lang w:val="en-IE"/>
        </w:rPr>
        <w:t>database</w:t>
      </w:r>
      <w:r w:rsidR="008804FB">
        <w:rPr>
          <w:lang w:val="en-IE"/>
        </w:rPr>
        <w:t>s</w:t>
      </w:r>
      <w:r w:rsidRPr="006B249B">
        <w:rPr>
          <w:lang w:val="en-IE"/>
        </w:rPr>
        <w:t xml:space="preserve"> (including indicative)</w:t>
      </w:r>
      <w:r w:rsidR="00D30B7C">
        <w:rPr>
          <w:lang w:val="en-IE"/>
        </w:rPr>
        <w:t xml:space="preserve"> are available, these</w:t>
      </w:r>
      <w:r>
        <w:rPr>
          <w:lang w:val="en-IE"/>
        </w:rPr>
        <w:t xml:space="preserve"> could be used. </w:t>
      </w:r>
      <w:r w:rsidR="00AA6B8D" w:rsidRPr="00AA6B8D">
        <w:rPr>
          <w:lang w:val="en-IE"/>
        </w:rPr>
        <w:t>If there are different choices because of different processes</w:t>
      </w:r>
      <w:r w:rsidR="00AA6B8D">
        <w:rPr>
          <w:lang w:val="en-IE"/>
        </w:rPr>
        <w:t xml:space="preserve"> used and</w:t>
      </w:r>
      <w:r w:rsidR="00AA6B8D" w:rsidRPr="00AA6B8D">
        <w:rPr>
          <w:lang w:val="en-IE"/>
        </w:rPr>
        <w:t xml:space="preserve"> no information on the process under investigation</w:t>
      </w:r>
      <w:r w:rsidR="00AA6B8D">
        <w:rPr>
          <w:lang w:val="en-IE"/>
        </w:rPr>
        <w:t xml:space="preserve"> is available</w:t>
      </w:r>
      <w:r w:rsidR="00AA6B8D" w:rsidRPr="00AA6B8D">
        <w:rPr>
          <w:lang w:val="en-IE"/>
        </w:rPr>
        <w:t xml:space="preserve">, </w:t>
      </w:r>
      <w:r w:rsidR="00AA6B8D">
        <w:rPr>
          <w:lang w:val="en-IE"/>
        </w:rPr>
        <w:t>the</w:t>
      </w:r>
      <w:r w:rsidR="00AA6B8D" w:rsidRPr="00AA6B8D">
        <w:rPr>
          <w:lang w:val="en-IE"/>
        </w:rPr>
        <w:t xml:space="preserve"> processing factor leading to the highest residue </w:t>
      </w:r>
      <w:r w:rsidR="00AA6B8D">
        <w:rPr>
          <w:lang w:val="en-IE"/>
        </w:rPr>
        <w:t>should be used.</w:t>
      </w:r>
      <w:r w:rsidR="00AA6B8D" w:rsidRPr="00AA6B8D">
        <w:rPr>
          <w:lang w:val="en-IE"/>
        </w:rPr>
        <w:t xml:space="preserve"> </w:t>
      </w:r>
    </w:p>
    <w:p w14:paraId="204A23D9" w14:textId="6ECE66FF" w:rsidR="001B7119" w:rsidRDefault="004D14C3" w:rsidP="003D409D">
      <w:pPr>
        <w:jc w:val="both"/>
        <w:rPr>
          <w:lang w:val="en-IE"/>
        </w:rPr>
      </w:pPr>
      <w:r>
        <w:rPr>
          <w:lang w:val="en-IE"/>
        </w:rPr>
        <w:lastRenderedPageBreak/>
        <w:t xml:space="preserve">If </w:t>
      </w:r>
      <w:r w:rsidR="00D30B7C" w:rsidRPr="00D30B7C">
        <w:rPr>
          <w:lang w:val="en-IE"/>
        </w:rPr>
        <w:t xml:space="preserve">application of </w:t>
      </w:r>
      <w:r>
        <w:rPr>
          <w:lang w:val="en-IE"/>
        </w:rPr>
        <w:t>the available and most suitable processing factors (according to the hierarchy set out above)</w:t>
      </w:r>
      <w:r w:rsidR="008C1285">
        <w:rPr>
          <w:lang w:val="en-IE"/>
        </w:rPr>
        <w:t xml:space="preserve"> </w:t>
      </w:r>
      <w:r w:rsidR="00D30B7C" w:rsidRPr="00D30B7C">
        <w:rPr>
          <w:lang w:val="en-IE"/>
        </w:rPr>
        <w:t>indicates that the product might not be in compliance with the MRL</w:t>
      </w:r>
      <w:r w:rsidR="003D409D">
        <w:rPr>
          <w:lang w:val="en-IE"/>
        </w:rPr>
        <w:t xml:space="preserve">, </w:t>
      </w:r>
      <w:r>
        <w:rPr>
          <w:lang w:val="en-IE"/>
        </w:rPr>
        <w:t>the competent authority of the Member State responsible for enforcement may give the respective FBO the opportunity to provide</w:t>
      </w:r>
      <w:r w:rsidR="001B7119">
        <w:rPr>
          <w:lang w:val="en-IE"/>
        </w:rPr>
        <w:t>:</w:t>
      </w:r>
    </w:p>
    <w:p w14:paraId="77EE3E7B" w14:textId="0578BCE4" w:rsidR="001B7119" w:rsidRPr="000025D7" w:rsidRDefault="00DC5AAF" w:rsidP="000025D7">
      <w:pPr>
        <w:pStyle w:val="ListParagraph"/>
        <w:numPr>
          <w:ilvl w:val="0"/>
          <w:numId w:val="41"/>
        </w:numPr>
        <w:jc w:val="both"/>
        <w:rPr>
          <w:lang w:val="en-IE"/>
        </w:rPr>
      </w:pPr>
      <w:r w:rsidRPr="000025D7">
        <w:rPr>
          <w:lang w:val="en-IE"/>
        </w:rPr>
        <w:t>undisputable</w:t>
      </w:r>
      <w:r w:rsidR="004D14C3" w:rsidRPr="000025D7">
        <w:rPr>
          <w:lang w:val="en-IE"/>
        </w:rPr>
        <w:t xml:space="preserve"> evidence that compliant </w:t>
      </w:r>
      <w:r w:rsidR="00EA1928" w:rsidRPr="000025D7">
        <w:rPr>
          <w:lang w:val="en-IE"/>
        </w:rPr>
        <w:t xml:space="preserve">unprocessed </w:t>
      </w:r>
      <w:r w:rsidR="004D14C3" w:rsidRPr="000025D7">
        <w:rPr>
          <w:lang w:val="en-IE"/>
        </w:rPr>
        <w:t xml:space="preserve">products as listed in Annex </w:t>
      </w:r>
      <w:r w:rsidR="00EA1928" w:rsidRPr="000025D7">
        <w:rPr>
          <w:lang w:val="en-IE"/>
        </w:rPr>
        <w:t xml:space="preserve">I </w:t>
      </w:r>
      <w:r w:rsidR="004D14C3" w:rsidRPr="000025D7">
        <w:rPr>
          <w:lang w:val="en-IE"/>
        </w:rPr>
        <w:t xml:space="preserve">to Regulation (EC) No 396/2005 were used </w:t>
      </w:r>
      <w:r w:rsidR="00FC55BB" w:rsidRPr="000025D7">
        <w:rPr>
          <w:lang w:val="en-IE"/>
        </w:rPr>
        <w:t>as starting material for</w:t>
      </w:r>
      <w:r w:rsidR="00EA1928" w:rsidRPr="000025D7">
        <w:rPr>
          <w:lang w:val="en-IE"/>
        </w:rPr>
        <w:t xml:space="preserve"> processing </w:t>
      </w:r>
      <w:r w:rsidR="00301D4B" w:rsidRPr="000025D7">
        <w:rPr>
          <w:lang w:val="en-IE"/>
        </w:rPr>
        <w:t xml:space="preserve">(this must always be proven) </w:t>
      </w:r>
      <w:r w:rsidR="004D14C3" w:rsidRPr="000025D7">
        <w:rPr>
          <w:lang w:val="en-IE"/>
        </w:rPr>
        <w:t xml:space="preserve">and </w:t>
      </w:r>
    </w:p>
    <w:p w14:paraId="0C3CB5C2" w14:textId="70756449" w:rsidR="003D409D" w:rsidRPr="000025D7" w:rsidRDefault="004D14C3" w:rsidP="000025D7">
      <w:pPr>
        <w:pStyle w:val="ListParagraph"/>
        <w:numPr>
          <w:ilvl w:val="0"/>
          <w:numId w:val="41"/>
        </w:numPr>
        <w:jc w:val="both"/>
        <w:rPr>
          <w:lang w:val="en-IE"/>
        </w:rPr>
      </w:pPr>
      <w:r w:rsidRPr="000025D7">
        <w:rPr>
          <w:lang w:val="en-IE"/>
        </w:rPr>
        <w:t xml:space="preserve">more </w:t>
      </w:r>
      <w:r w:rsidR="003D409D" w:rsidRPr="000025D7">
        <w:rPr>
          <w:lang w:val="en-IE"/>
        </w:rPr>
        <w:t>specific Pfs</w:t>
      </w:r>
      <w:r w:rsidRPr="000025D7">
        <w:rPr>
          <w:lang w:val="en-IE"/>
        </w:rPr>
        <w:t xml:space="preserve"> within a certain deadline </w:t>
      </w:r>
      <w:r w:rsidR="003D409D" w:rsidRPr="000025D7">
        <w:rPr>
          <w:lang w:val="en-IE"/>
        </w:rPr>
        <w:t>for their processes</w:t>
      </w:r>
      <w:r w:rsidR="00D30B7C" w:rsidRPr="000025D7">
        <w:rPr>
          <w:lang w:val="en-IE"/>
        </w:rPr>
        <w:t>.</w:t>
      </w:r>
      <w:r w:rsidR="003D409D" w:rsidRPr="000025D7">
        <w:rPr>
          <w:lang w:val="en-IE"/>
        </w:rPr>
        <w:t xml:space="preserve"> </w:t>
      </w:r>
      <w:r w:rsidR="00D30B7C" w:rsidRPr="000025D7">
        <w:rPr>
          <w:lang w:val="en-IE"/>
        </w:rPr>
        <w:t>I</w:t>
      </w:r>
      <w:r w:rsidR="003D409D" w:rsidRPr="000025D7">
        <w:rPr>
          <w:lang w:val="en-IE"/>
        </w:rPr>
        <w:t>f those were made available</w:t>
      </w:r>
      <w:r w:rsidRPr="000025D7">
        <w:rPr>
          <w:lang w:val="en-IE"/>
        </w:rPr>
        <w:t xml:space="preserve"> within the deadline provided</w:t>
      </w:r>
      <w:r w:rsidR="00D30B7C" w:rsidRPr="000025D7">
        <w:rPr>
          <w:lang w:val="en-IE"/>
        </w:rPr>
        <w:t>, these</w:t>
      </w:r>
      <w:r w:rsidR="003D409D" w:rsidRPr="000025D7">
        <w:rPr>
          <w:lang w:val="en-IE"/>
        </w:rPr>
        <w:t xml:space="preserve"> could be used</w:t>
      </w:r>
      <w:r w:rsidR="0063688E" w:rsidRPr="000025D7">
        <w:rPr>
          <w:lang w:val="en-IE"/>
        </w:rPr>
        <w:t>, provided that the competent authority of the Member State considers them appropriate</w:t>
      </w:r>
      <w:r w:rsidRPr="000025D7">
        <w:rPr>
          <w:lang w:val="en-IE"/>
        </w:rPr>
        <w:t xml:space="preserve"> based on their expert judgement and the specific cases</w:t>
      </w:r>
      <w:r w:rsidR="003D409D" w:rsidRPr="000025D7">
        <w:rPr>
          <w:lang w:val="en-IE"/>
        </w:rPr>
        <w:t xml:space="preserve">. </w:t>
      </w:r>
    </w:p>
    <w:p w14:paraId="58B6B4FC" w14:textId="77777777" w:rsidR="00F87FC6" w:rsidRPr="0054038C" w:rsidRDefault="00F87FC6" w:rsidP="003D409D">
      <w:pPr>
        <w:jc w:val="both"/>
      </w:pPr>
    </w:p>
    <w:p w14:paraId="733709F7" w14:textId="799020EE" w:rsidR="00F13F2B" w:rsidRDefault="006536CF" w:rsidP="00F13F2B">
      <w:pPr>
        <w:pStyle w:val="ListParagraph"/>
        <w:numPr>
          <w:ilvl w:val="0"/>
          <w:numId w:val="6"/>
        </w:numPr>
        <w:spacing w:after="100" w:afterAutospacing="1"/>
        <w:rPr>
          <w:rFonts w:ascii="Times New Roman" w:eastAsia="Times New Roman" w:hAnsi="Times New Roman" w:cs="Times New Roman"/>
          <w:b/>
          <w:caps/>
          <w:sz w:val="24"/>
          <w:szCs w:val="20"/>
          <w:lang w:val="en-IE" w:eastAsia="en-GB"/>
        </w:rPr>
      </w:pPr>
      <w:r w:rsidRPr="00F13F2B">
        <w:rPr>
          <w:rFonts w:ascii="Times New Roman" w:eastAsia="Times New Roman" w:hAnsi="Times New Roman" w:cs="Times New Roman"/>
          <w:b/>
          <w:caps/>
          <w:sz w:val="24"/>
          <w:szCs w:val="20"/>
          <w:lang w:val="en-IE" w:eastAsia="en-GB"/>
        </w:rPr>
        <w:t>Use of the processing factors in the assessment of MRL compliance</w:t>
      </w:r>
    </w:p>
    <w:p w14:paraId="651BA67D" w14:textId="1F008D3C" w:rsidR="00DF5554" w:rsidRPr="00F13F2B" w:rsidRDefault="006536CF" w:rsidP="00F13F2B">
      <w:pPr>
        <w:spacing w:after="100" w:afterAutospacing="1"/>
        <w:rPr>
          <w:rFonts w:ascii="Times New Roman" w:eastAsia="Times New Roman" w:hAnsi="Times New Roman" w:cs="Times New Roman"/>
          <w:b/>
          <w:caps/>
          <w:sz w:val="24"/>
          <w:szCs w:val="20"/>
          <w:lang w:val="en-IE" w:eastAsia="en-GB"/>
        </w:rPr>
      </w:pPr>
      <w:r w:rsidRPr="00F13F2B">
        <w:rPr>
          <w:lang w:val="en-GB"/>
        </w:rPr>
        <w:t>The steps for</w:t>
      </w:r>
      <w:r w:rsidR="00BB3266" w:rsidRPr="00F13F2B">
        <w:rPr>
          <w:lang w:val="en-GB"/>
        </w:rPr>
        <w:t xml:space="preserve"> assessing the </w:t>
      </w:r>
      <w:r w:rsidR="008804FB" w:rsidRPr="00F13F2B">
        <w:rPr>
          <w:lang w:val="en-GB"/>
        </w:rPr>
        <w:t xml:space="preserve">MRL </w:t>
      </w:r>
      <w:r w:rsidR="008C1D42" w:rsidRPr="00F13F2B">
        <w:rPr>
          <w:lang w:val="en-GB"/>
        </w:rPr>
        <w:t>compliance</w:t>
      </w:r>
      <w:r w:rsidR="00E76A81" w:rsidRPr="00F13F2B">
        <w:rPr>
          <w:lang w:val="en-GB"/>
        </w:rPr>
        <w:t>:</w:t>
      </w:r>
    </w:p>
    <w:p w14:paraId="34BDD356" w14:textId="1A3ADC69" w:rsidR="00774536" w:rsidRPr="00F13F2B" w:rsidRDefault="00973374" w:rsidP="00774536">
      <w:pPr>
        <w:spacing w:before="120" w:after="120"/>
        <w:jc w:val="both"/>
        <w:rPr>
          <w:b/>
          <w:u w:val="single"/>
          <w:lang w:val="en-GB"/>
        </w:rPr>
      </w:pPr>
      <w:r w:rsidRPr="00F13F2B">
        <w:rPr>
          <w:b/>
          <w:u w:val="single"/>
          <w:lang w:val="en-GB"/>
        </w:rPr>
        <w:t>Step 1</w:t>
      </w:r>
      <w:r w:rsidR="00774536" w:rsidRPr="00F13F2B">
        <w:rPr>
          <w:b/>
          <w:u w:val="single"/>
          <w:lang w:val="en-GB"/>
        </w:rPr>
        <w:t xml:space="preserve"> </w:t>
      </w:r>
      <w:r w:rsidR="00774536" w:rsidRPr="00F13F2B">
        <w:rPr>
          <w:b/>
          <w:highlight w:val="cyan"/>
          <w:u w:val="single"/>
          <w:lang w:val="en-GB"/>
        </w:rPr>
        <w:t>(</w:t>
      </w:r>
      <w:r w:rsidR="000930B8" w:rsidRPr="00F13F2B">
        <w:rPr>
          <w:b/>
          <w:highlight w:val="cyan"/>
          <w:u w:val="single"/>
          <w:lang w:val="en-GB"/>
        </w:rPr>
        <w:t>Initial estimation of</w:t>
      </w:r>
      <w:r w:rsidR="00774536" w:rsidRPr="00F13F2B">
        <w:rPr>
          <w:b/>
          <w:highlight w:val="cyan"/>
          <w:u w:val="single"/>
          <w:lang w:val="en-GB"/>
        </w:rPr>
        <w:t xml:space="preserve"> </w:t>
      </w:r>
      <w:r w:rsidR="00041449" w:rsidRPr="00F13F2B">
        <w:rPr>
          <w:b/>
          <w:highlight w:val="cyan"/>
          <w:u w:val="single"/>
          <w:lang w:val="en-GB"/>
        </w:rPr>
        <w:t>c</w:t>
      </w:r>
      <w:r w:rsidR="00774536" w:rsidRPr="00F13F2B">
        <w:rPr>
          <w:b/>
          <w:highlight w:val="cyan"/>
          <w:u w:val="single"/>
          <w:lang w:val="en-GB"/>
        </w:rPr>
        <w:t>ompliance)</w:t>
      </w:r>
    </w:p>
    <w:p w14:paraId="762D61B4" w14:textId="59C67CCE" w:rsidR="0063688E" w:rsidRDefault="00774536" w:rsidP="00E76A81">
      <w:pPr>
        <w:spacing w:before="120" w:after="120"/>
        <w:jc w:val="both"/>
        <w:rPr>
          <w:lang w:val="en-GB"/>
        </w:rPr>
      </w:pPr>
      <w:r>
        <w:rPr>
          <w:lang w:val="en-GB"/>
        </w:rPr>
        <w:t>S</w:t>
      </w:r>
      <w:r w:rsidR="0063688E" w:rsidRPr="00BC26B4">
        <w:rPr>
          <w:lang w:val="en-GB"/>
        </w:rPr>
        <w:t>tarting point: analysis of the processed product</w:t>
      </w:r>
      <w:r w:rsidR="00973374" w:rsidRPr="00BC26B4">
        <w:rPr>
          <w:lang w:val="en-GB"/>
        </w:rPr>
        <w:t>. Comparison of the analytical result (without</w:t>
      </w:r>
      <w:r w:rsidR="006536CF">
        <w:rPr>
          <w:lang w:val="en-GB"/>
        </w:rPr>
        <w:t xml:space="preserve"> </w:t>
      </w:r>
      <w:r w:rsidR="002D3960">
        <w:rPr>
          <w:lang w:val="en-GB"/>
        </w:rPr>
        <w:t>MU</w:t>
      </w:r>
      <w:r w:rsidR="00973374" w:rsidRPr="00BC26B4">
        <w:rPr>
          <w:lang w:val="en-GB"/>
        </w:rPr>
        <w:t xml:space="preserve">) to the MRL of the </w:t>
      </w:r>
      <w:r w:rsidR="0093364F" w:rsidRPr="0093364F">
        <w:rPr>
          <w:lang w:val="en-GB"/>
        </w:rPr>
        <w:t xml:space="preserve">relevant </w:t>
      </w:r>
      <w:r w:rsidR="009364E2">
        <w:rPr>
          <w:lang w:val="en-GB"/>
        </w:rPr>
        <w:t xml:space="preserve">unprocessed </w:t>
      </w:r>
      <w:r w:rsidR="0093364F" w:rsidRPr="0093364F">
        <w:rPr>
          <w:lang w:val="en-GB"/>
        </w:rPr>
        <w:t xml:space="preserve">product covered by Annex </w:t>
      </w:r>
      <w:r w:rsidR="0093364F">
        <w:rPr>
          <w:lang w:val="en-GB"/>
        </w:rPr>
        <w:t>I</w:t>
      </w:r>
      <w:r w:rsidR="0093364F" w:rsidRPr="0093364F">
        <w:rPr>
          <w:lang w:val="en-GB"/>
        </w:rPr>
        <w:t xml:space="preserve"> </w:t>
      </w:r>
      <w:r w:rsidR="00D1391D">
        <w:rPr>
          <w:lang w:val="en-GB"/>
        </w:rPr>
        <w:t>of Regulation (EC) No 396/2005</w:t>
      </w:r>
      <w:r w:rsidR="00024AAC">
        <w:rPr>
          <w:lang w:val="en-GB"/>
        </w:rPr>
        <w:t>.</w:t>
      </w:r>
    </w:p>
    <w:p w14:paraId="2EAED5D6" w14:textId="77777777" w:rsidR="002D3960" w:rsidRDefault="002D3960" w:rsidP="00E76A81">
      <w:pPr>
        <w:spacing w:before="120" w:after="120"/>
        <w:jc w:val="both"/>
        <w:rPr>
          <w:lang w:val="en-GB"/>
        </w:rPr>
      </w:pPr>
    </w:p>
    <w:p w14:paraId="0A64FB44" w14:textId="64F8E1C2" w:rsidR="00851087" w:rsidRDefault="00851087" w:rsidP="00851087">
      <w:pPr>
        <w:pStyle w:val="ListParagraph"/>
        <w:numPr>
          <w:ilvl w:val="0"/>
          <w:numId w:val="37"/>
        </w:numPr>
        <w:spacing w:before="120" w:after="120"/>
        <w:jc w:val="both"/>
        <w:rPr>
          <w:lang w:val="en-GB"/>
        </w:rPr>
      </w:pPr>
      <w:r>
        <w:rPr>
          <w:lang w:val="en-GB"/>
        </w:rPr>
        <w:t>Dilution is expected</w:t>
      </w:r>
    </w:p>
    <w:p w14:paraId="5CBD4530" w14:textId="3BDEDF9D" w:rsidR="00851087" w:rsidRPr="006C0691" w:rsidRDefault="00851087" w:rsidP="006C0691">
      <w:pPr>
        <w:spacing w:before="120" w:after="120"/>
        <w:jc w:val="both"/>
        <w:rPr>
          <w:highlight w:val="yellow"/>
          <w:lang w:val="en-GB"/>
        </w:rPr>
      </w:pPr>
      <w:r w:rsidRPr="006C0691">
        <w:rPr>
          <w:b/>
          <w:lang w:val="en-GB"/>
        </w:rPr>
        <w:t>Case a)</w:t>
      </w:r>
      <w:r>
        <w:rPr>
          <w:lang w:val="en-GB"/>
        </w:rPr>
        <w:t xml:space="preserve"> </w:t>
      </w:r>
      <w:r w:rsidR="008411BB">
        <w:rPr>
          <w:lang w:val="en-GB"/>
        </w:rPr>
        <w:t>the m</w:t>
      </w:r>
      <w:r>
        <w:rPr>
          <w:lang w:val="en-GB"/>
        </w:rPr>
        <w:t xml:space="preserve">easured value </w:t>
      </w:r>
      <w:r w:rsidR="008411BB">
        <w:rPr>
          <w:lang w:val="en-GB"/>
        </w:rPr>
        <w:t xml:space="preserve">in the processed products </w:t>
      </w:r>
      <w:r>
        <w:rPr>
          <w:lang w:val="en-GB"/>
        </w:rPr>
        <w:t xml:space="preserve">does not exceed the MRL for the relevant unprocessed product covered by Annex </w:t>
      </w:r>
      <w:r w:rsidR="006C0691">
        <w:rPr>
          <w:lang w:val="en-GB"/>
        </w:rPr>
        <w:t>I</w:t>
      </w:r>
      <w:r>
        <w:rPr>
          <w:lang w:val="en-GB"/>
        </w:rPr>
        <w:t xml:space="preserve"> (numerical value of MRL, no consideration of measurement uncertainty)</w:t>
      </w:r>
      <w:r w:rsidR="008411BB">
        <w:rPr>
          <w:lang w:val="en-GB"/>
        </w:rPr>
        <w:t xml:space="preserve">. However, since dilution is expected, the MRL in the unprocessed product covered by Annex </w:t>
      </w:r>
      <w:r w:rsidR="006C0691">
        <w:rPr>
          <w:lang w:val="en-GB"/>
        </w:rPr>
        <w:t>I</w:t>
      </w:r>
      <w:r w:rsidR="008411BB">
        <w:rPr>
          <w:lang w:val="en-GB"/>
        </w:rPr>
        <w:t xml:space="preserve"> may still be exceeded</w:t>
      </w:r>
      <w:r w:rsidRPr="008411BB">
        <w:rPr>
          <w:lang w:val="en-GB"/>
        </w:rPr>
        <w:t xml:space="preserve"> </w:t>
      </w:r>
      <w:r w:rsidRPr="00851087">
        <w:rPr>
          <w:lang w:val="en-GB"/>
        </w:rPr>
        <w:sym w:font="Wingdings" w:char="F0E0"/>
      </w:r>
      <w:r w:rsidRPr="008411BB">
        <w:rPr>
          <w:lang w:val="en-GB"/>
        </w:rPr>
        <w:t xml:space="preserve"> Move to step 3</w:t>
      </w:r>
    </w:p>
    <w:p w14:paraId="67FBDFC0" w14:textId="303B7145" w:rsidR="00851087" w:rsidRPr="008411BB" w:rsidRDefault="00851087" w:rsidP="006C0691">
      <w:pPr>
        <w:spacing w:before="120" w:after="120"/>
        <w:jc w:val="both"/>
        <w:rPr>
          <w:lang w:val="en-GB"/>
        </w:rPr>
      </w:pPr>
      <w:r w:rsidRPr="006C0691">
        <w:rPr>
          <w:b/>
          <w:lang w:val="en-GB"/>
        </w:rPr>
        <w:t>Case b)</w:t>
      </w:r>
      <w:r w:rsidRPr="008411BB">
        <w:rPr>
          <w:lang w:val="en-GB"/>
        </w:rPr>
        <w:t xml:space="preserve"> </w:t>
      </w:r>
      <w:r w:rsidR="008411BB">
        <w:rPr>
          <w:lang w:val="en-GB"/>
        </w:rPr>
        <w:t>the m</w:t>
      </w:r>
      <w:r w:rsidRPr="008411BB">
        <w:rPr>
          <w:lang w:val="en-GB"/>
        </w:rPr>
        <w:t xml:space="preserve">easured value </w:t>
      </w:r>
      <w:r w:rsidR="008411BB">
        <w:rPr>
          <w:lang w:val="en-GB"/>
        </w:rPr>
        <w:t xml:space="preserve">in the processed product </w:t>
      </w:r>
      <w:r w:rsidR="006C0691">
        <w:rPr>
          <w:lang w:val="en-GB"/>
        </w:rPr>
        <w:t>exceeds</w:t>
      </w:r>
      <w:r w:rsidRPr="008411BB">
        <w:rPr>
          <w:lang w:val="en-GB"/>
        </w:rPr>
        <w:t xml:space="preserve"> the MRL for the relevant unprocessed product covered by Annex </w:t>
      </w:r>
      <w:r w:rsidR="006C0691">
        <w:rPr>
          <w:lang w:val="en-GB"/>
        </w:rPr>
        <w:t>I</w:t>
      </w:r>
      <w:r w:rsidRPr="008411BB">
        <w:rPr>
          <w:lang w:val="en-GB"/>
        </w:rPr>
        <w:t xml:space="preserve"> (numerical value of MRL, no consideration of </w:t>
      </w:r>
      <w:r w:rsidR="006C0691">
        <w:rPr>
          <w:lang w:val="en-GB"/>
        </w:rPr>
        <w:t>MU</w:t>
      </w:r>
      <w:r w:rsidRPr="008411BB">
        <w:rPr>
          <w:lang w:val="en-GB"/>
        </w:rPr>
        <w:t>)</w:t>
      </w:r>
      <w:r w:rsidRPr="00851087">
        <w:rPr>
          <w:lang w:val="en-GB"/>
        </w:rPr>
        <w:sym w:font="Wingdings" w:char="F0E0"/>
      </w:r>
      <w:r w:rsidRPr="008411BB">
        <w:rPr>
          <w:lang w:val="en-GB"/>
        </w:rPr>
        <w:t xml:space="preserve"> Move to step 2</w:t>
      </w:r>
    </w:p>
    <w:p w14:paraId="2EFB0837" w14:textId="5E476AC8" w:rsidR="00851087" w:rsidRDefault="00851087" w:rsidP="006C0691">
      <w:pPr>
        <w:pStyle w:val="ListParagraph"/>
        <w:spacing w:before="120" w:after="120"/>
        <w:jc w:val="both"/>
        <w:rPr>
          <w:lang w:val="en-GB"/>
        </w:rPr>
      </w:pPr>
    </w:p>
    <w:p w14:paraId="43A6CDC3" w14:textId="1B9199D2" w:rsidR="00851087" w:rsidRPr="00F87FC6" w:rsidRDefault="00851087" w:rsidP="00F87FC6">
      <w:pPr>
        <w:pStyle w:val="ListParagraph"/>
        <w:numPr>
          <w:ilvl w:val="0"/>
          <w:numId w:val="37"/>
        </w:numPr>
        <w:spacing w:before="120" w:after="120"/>
        <w:jc w:val="both"/>
        <w:rPr>
          <w:lang w:val="en-GB"/>
        </w:rPr>
      </w:pPr>
      <w:r>
        <w:rPr>
          <w:lang w:val="en-GB"/>
        </w:rPr>
        <w:t>Concentration is expected</w:t>
      </w:r>
    </w:p>
    <w:p w14:paraId="28B4FA08" w14:textId="23545EA1" w:rsidR="0063688E" w:rsidRPr="00BC26B4" w:rsidRDefault="0063688E" w:rsidP="00E76A81">
      <w:pPr>
        <w:spacing w:before="120" w:after="120"/>
        <w:jc w:val="both"/>
        <w:rPr>
          <w:lang w:val="en-GB"/>
        </w:rPr>
      </w:pPr>
      <w:r w:rsidRPr="00041449">
        <w:rPr>
          <w:b/>
          <w:lang w:val="en-GB"/>
        </w:rPr>
        <w:t>Case a)</w:t>
      </w:r>
      <w:r w:rsidRPr="00BC26B4">
        <w:rPr>
          <w:lang w:val="en-GB"/>
        </w:rPr>
        <w:t xml:space="preserve"> the </w:t>
      </w:r>
      <w:r w:rsidR="008411BB">
        <w:rPr>
          <w:lang w:val="en-GB"/>
        </w:rPr>
        <w:t xml:space="preserve">measured value in the processed product exceeds the </w:t>
      </w:r>
      <w:r w:rsidRPr="00BC26B4">
        <w:rPr>
          <w:lang w:val="en-GB"/>
        </w:rPr>
        <w:t xml:space="preserve">MRL for the </w:t>
      </w:r>
      <w:r w:rsidR="0093364F" w:rsidRPr="0093364F">
        <w:rPr>
          <w:lang w:val="en-GB"/>
        </w:rPr>
        <w:t xml:space="preserve">relevant </w:t>
      </w:r>
      <w:r w:rsidR="00F75896">
        <w:rPr>
          <w:lang w:val="en-GB"/>
        </w:rPr>
        <w:t xml:space="preserve">unprocessed </w:t>
      </w:r>
      <w:r w:rsidR="0093364F" w:rsidRPr="0093364F">
        <w:rPr>
          <w:lang w:val="en-GB"/>
        </w:rPr>
        <w:t xml:space="preserve">product covered by Annex </w:t>
      </w:r>
      <w:r w:rsidR="0093364F">
        <w:rPr>
          <w:lang w:val="en-GB"/>
        </w:rPr>
        <w:t>I</w:t>
      </w:r>
      <w:r w:rsidR="00774536">
        <w:rPr>
          <w:lang w:val="en-GB"/>
        </w:rPr>
        <w:t xml:space="preserve"> (numerical value of MRL, no consideration of </w:t>
      </w:r>
      <w:r w:rsidR="006C0691">
        <w:rPr>
          <w:lang w:val="en-GB"/>
        </w:rPr>
        <w:t>MU)</w:t>
      </w:r>
      <w:r w:rsidR="00024AAC" w:rsidRPr="00BC26B4">
        <w:rPr>
          <w:lang w:val="en-GB"/>
        </w:rPr>
        <w:sym w:font="Wingdings" w:char="F0E0"/>
      </w:r>
      <w:r w:rsidR="00973374">
        <w:rPr>
          <w:lang w:val="en-GB"/>
        </w:rPr>
        <w:t>Move to step 2</w:t>
      </w:r>
    </w:p>
    <w:p w14:paraId="73750D79" w14:textId="67332ECE" w:rsidR="00AF7F03" w:rsidRDefault="0063688E" w:rsidP="00E76A81">
      <w:pPr>
        <w:spacing w:before="120" w:after="120"/>
        <w:jc w:val="both"/>
        <w:rPr>
          <w:lang w:val="en-GB"/>
        </w:rPr>
      </w:pPr>
      <w:r w:rsidRPr="00041449">
        <w:rPr>
          <w:b/>
          <w:lang w:val="en-GB"/>
        </w:rPr>
        <w:t>Case b)</w:t>
      </w:r>
      <w:r w:rsidRPr="00BC26B4">
        <w:rPr>
          <w:lang w:val="en-GB"/>
        </w:rPr>
        <w:t xml:space="preserve"> the</w:t>
      </w:r>
      <w:r w:rsidR="008411BB">
        <w:rPr>
          <w:lang w:val="en-GB"/>
        </w:rPr>
        <w:t xml:space="preserve"> measured value in the processed product does not exceed the </w:t>
      </w:r>
      <w:r w:rsidRPr="00BC26B4">
        <w:rPr>
          <w:lang w:val="en-GB"/>
        </w:rPr>
        <w:t xml:space="preserve">MRL for the </w:t>
      </w:r>
      <w:r w:rsidR="0093364F" w:rsidRPr="0093364F">
        <w:rPr>
          <w:lang w:val="en-GB"/>
        </w:rPr>
        <w:t xml:space="preserve">relevant </w:t>
      </w:r>
      <w:r w:rsidR="009364E2">
        <w:rPr>
          <w:lang w:val="en-GB"/>
        </w:rPr>
        <w:t xml:space="preserve">unprocessed </w:t>
      </w:r>
      <w:r w:rsidR="0093364F" w:rsidRPr="0093364F">
        <w:rPr>
          <w:lang w:val="en-GB"/>
        </w:rPr>
        <w:t>product</w:t>
      </w:r>
      <w:r w:rsidR="000C39D0">
        <w:rPr>
          <w:lang w:val="en-GB"/>
        </w:rPr>
        <w:t xml:space="preserve"> </w:t>
      </w:r>
      <w:r w:rsidR="0093364F" w:rsidRPr="0093364F">
        <w:rPr>
          <w:lang w:val="en-GB"/>
        </w:rPr>
        <w:t xml:space="preserve">covered by Annex </w:t>
      </w:r>
      <w:r w:rsidR="0093364F">
        <w:rPr>
          <w:lang w:val="en-GB"/>
        </w:rPr>
        <w:t>I</w:t>
      </w:r>
      <w:r w:rsidR="0093364F" w:rsidRPr="0093364F" w:rsidDel="008804FB">
        <w:rPr>
          <w:lang w:val="en-GB"/>
        </w:rPr>
        <w:t xml:space="preserve"> </w:t>
      </w:r>
      <w:r w:rsidR="00774536">
        <w:rPr>
          <w:lang w:val="en-GB"/>
        </w:rPr>
        <w:t xml:space="preserve">(numerical value of MRL, no consideration of </w:t>
      </w:r>
      <w:r w:rsidR="00EC75E3">
        <w:rPr>
          <w:lang w:val="en-GB"/>
        </w:rPr>
        <w:t xml:space="preserve">measurement </w:t>
      </w:r>
      <w:r w:rsidR="00774536">
        <w:rPr>
          <w:lang w:val="en-GB"/>
        </w:rPr>
        <w:t>uncertainty)</w:t>
      </w:r>
      <w:r w:rsidR="00973374" w:rsidRPr="00BC26B4">
        <w:rPr>
          <w:lang w:val="en-GB"/>
        </w:rPr>
        <w:sym w:font="Wingdings" w:char="F0E0"/>
      </w:r>
      <w:r w:rsidR="00973374" w:rsidRPr="00BC26B4">
        <w:rPr>
          <w:lang w:val="en-GB"/>
        </w:rPr>
        <w:t xml:space="preserve"> no further action</w:t>
      </w:r>
    </w:p>
    <w:p w14:paraId="5E90422F" w14:textId="1C45217A" w:rsidR="00024AAC" w:rsidRDefault="00024AAC" w:rsidP="00E76A81">
      <w:pPr>
        <w:spacing w:before="120" w:after="120"/>
        <w:jc w:val="both"/>
        <w:rPr>
          <w:lang w:val="en-GB"/>
        </w:rPr>
      </w:pPr>
    </w:p>
    <w:p w14:paraId="13E3AE6A" w14:textId="77777777" w:rsidR="002D3960" w:rsidRDefault="00973374" w:rsidP="00E76A81">
      <w:pPr>
        <w:spacing w:before="120" w:after="120"/>
        <w:jc w:val="both"/>
        <w:rPr>
          <w:lang w:val="en-GB"/>
        </w:rPr>
      </w:pPr>
      <w:r w:rsidRPr="00F13F2B">
        <w:rPr>
          <w:b/>
          <w:u w:val="single"/>
          <w:lang w:val="en-GB"/>
        </w:rPr>
        <w:lastRenderedPageBreak/>
        <w:t>Step 2</w:t>
      </w:r>
      <w:r w:rsidR="00774536" w:rsidRPr="00F13F2B">
        <w:rPr>
          <w:b/>
          <w:u w:val="single"/>
          <w:lang w:val="en-GB"/>
        </w:rPr>
        <w:t xml:space="preserve"> </w:t>
      </w:r>
      <w:r w:rsidR="00774536" w:rsidRPr="00F13F2B">
        <w:rPr>
          <w:b/>
          <w:highlight w:val="cyan"/>
          <w:u w:val="single"/>
          <w:lang w:val="en-GB"/>
        </w:rPr>
        <w:t>(Decision on health risk)</w:t>
      </w:r>
      <w:r w:rsidRPr="00F13F2B">
        <w:rPr>
          <w:b/>
          <w:highlight w:val="cyan"/>
          <w:u w:val="single"/>
          <w:lang w:val="en-GB"/>
        </w:rPr>
        <w:t>:</w:t>
      </w:r>
      <w:r w:rsidRPr="00024AAC">
        <w:rPr>
          <w:lang w:val="en-GB"/>
        </w:rPr>
        <w:t xml:space="preserve"> Does the exceedance </w:t>
      </w:r>
      <w:r w:rsidR="00774536">
        <w:rPr>
          <w:lang w:val="en-GB"/>
        </w:rPr>
        <w:t xml:space="preserve">of the MRL </w:t>
      </w:r>
      <w:r w:rsidR="008411BB">
        <w:rPr>
          <w:lang w:val="en-GB"/>
        </w:rPr>
        <w:t xml:space="preserve">in the processed product </w:t>
      </w:r>
      <w:r w:rsidRPr="00024AAC">
        <w:rPr>
          <w:lang w:val="en-GB"/>
        </w:rPr>
        <w:t>cons</w:t>
      </w:r>
      <w:r>
        <w:rPr>
          <w:lang w:val="en-GB"/>
        </w:rPr>
        <w:t>titute a consumer health risk</w:t>
      </w:r>
      <w:r w:rsidR="00374118">
        <w:rPr>
          <w:rStyle w:val="FootnoteReference"/>
          <w:lang w:val="en-GB"/>
        </w:rPr>
        <w:footnoteReference w:id="10"/>
      </w:r>
      <w:r>
        <w:rPr>
          <w:lang w:val="en-GB"/>
        </w:rPr>
        <w:t xml:space="preserve">? </w:t>
      </w:r>
    </w:p>
    <w:p w14:paraId="4841DD79" w14:textId="79502D38" w:rsidR="00637EDE" w:rsidRPr="002114D8" w:rsidRDefault="002D546A" w:rsidP="00E76A81">
      <w:pPr>
        <w:spacing w:before="120" w:after="120"/>
        <w:jc w:val="both"/>
      </w:pPr>
      <w:r w:rsidRPr="002D3960">
        <w:rPr>
          <w:b/>
          <w:lang w:val="en-GB"/>
        </w:rPr>
        <w:t>For food:</w:t>
      </w:r>
      <w:r>
        <w:rPr>
          <w:lang w:val="en-GB"/>
        </w:rPr>
        <w:t xml:space="preserve"> </w:t>
      </w:r>
      <w:r w:rsidR="00973374">
        <w:rPr>
          <w:lang w:val="en-GB"/>
        </w:rPr>
        <w:t xml:space="preserve">(Analytical result on processed </w:t>
      </w:r>
      <w:r w:rsidR="00024AAC">
        <w:rPr>
          <w:lang w:val="en-GB"/>
        </w:rPr>
        <w:t>products to</w:t>
      </w:r>
      <w:r w:rsidR="00973374">
        <w:rPr>
          <w:lang w:val="en-GB"/>
        </w:rPr>
        <w:t xml:space="preserve"> be put in EFSA</w:t>
      </w:r>
      <w:r w:rsidR="001E61FD">
        <w:rPr>
          <w:lang w:val="en-GB"/>
        </w:rPr>
        <w:t>’s Pesticide Residue Intake Model (</w:t>
      </w:r>
      <w:r w:rsidR="009C4128" w:rsidRPr="009C4128">
        <w:rPr>
          <w:lang w:val="en-GB"/>
        </w:rPr>
        <w:t>PRIMo</w:t>
      </w:r>
      <w:r w:rsidR="001E61FD">
        <w:rPr>
          <w:lang w:val="en-GB"/>
        </w:rPr>
        <w:t>)</w:t>
      </w:r>
      <w:r w:rsidR="00973374">
        <w:rPr>
          <w:lang w:val="en-GB"/>
        </w:rPr>
        <w:t xml:space="preserve"> and matched with the consumption data for the</w:t>
      </w:r>
      <w:r w:rsidR="008C1285">
        <w:rPr>
          <w:lang w:val="en-GB"/>
        </w:rPr>
        <w:t xml:space="preserve"> </w:t>
      </w:r>
      <w:r w:rsidR="0093364F" w:rsidRPr="0093364F">
        <w:rPr>
          <w:lang w:val="en-GB"/>
        </w:rPr>
        <w:t xml:space="preserve">relevant product covered by Annex </w:t>
      </w:r>
      <w:r w:rsidR="0093364F">
        <w:rPr>
          <w:lang w:val="en-GB"/>
        </w:rPr>
        <w:t>I</w:t>
      </w:r>
      <w:r w:rsidR="0093364F" w:rsidRPr="0093364F">
        <w:rPr>
          <w:lang w:val="en-GB"/>
        </w:rPr>
        <w:t xml:space="preserve"> </w:t>
      </w:r>
      <w:r w:rsidR="00041449">
        <w:rPr>
          <w:lang w:val="en-GB"/>
        </w:rPr>
        <w:t>of Regulation (EC) 396/2005</w:t>
      </w:r>
      <w:r w:rsidR="00E54D22">
        <w:rPr>
          <w:lang w:val="en-GB"/>
        </w:rPr>
        <w:t>. EFSA</w:t>
      </w:r>
      <w:r w:rsidR="00E54D22" w:rsidRPr="00E54D22">
        <w:t xml:space="preserve"> </w:t>
      </w:r>
      <w:r w:rsidR="00AF779D" w:rsidRPr="00E54D22">
        <w:rPr>
          <w:lang w:val="en-GB"/>
        </w:rPr>
        <w:t>PRIM</w:t>
      </w:r>
      <w:r w:rsidR="00AF779D">
        <w:rPr>
          <w:lang w:val="en-GB"/>
        </w:rPr>
        <w:t>o</w:t>
      </w:r>
      <w:r w:rsidR="00AF779D" w:rsidRPr="00E54D22">
        <w:rPr>
          <w:lang w:val="en-GB"/>
        </w:rPr>
        <w:t xml:space="preserve"> </w:t>
      </w:r>
      <w:r w:rsidR="00E54D22" w:rsidRPr="00E54D22">
        <w:rPr>
          <w:lang w:val="en-GB"/>
        </w:rPr>
        <w:t>contains a few processed products. In such cases</w:t>
      </w:r>
      <w:r w:rsidR="00D1766C">
        <w:rPr>
          <w:lang w:val="en-GB"/>
        </w:rPr>
        <w:t>,</w:t>
      </w:r>
      <w:r w:rsidR="00E54D22" w:rsidRPr="00E54D22">
        <w:rPr>
          <w:lang w:val="en-GB"/>
        </w:rPr>
        <w:t xml:space="preserve"> the residue in the processed product </w:t>
      </w:r>
      <w:r w:rsidR="00D1766C">
        <w:rPr>
          <w:lang w:val="en-GB"/>
        </w:rPr>
        <w:t xml:space="preserve">is matched </w:t>
      </w:r>
      <w:r w:rsidR="00E54D22" w:rsidRPr="00E54D22">
        <w:rPr>
          <w:lang w:val="en-GB"/>
        </w:rPr>
        <w:t>with the consumption data of the processed product. In cases where there is no consumption information on the processed commodity, the corresponding calculated residue of the unprocessed product</w:t>
      </w:r>
      <w:r w:rsidR="00D1766C">
        <w:rPr>
          <w:lang w:val="en-GB"/>
        </w:rPr>
        <w:t xml:space="preserve"> is used</w:t>
      </w:r>
      <w:r w:rsidR="00E54D22" w:rsidRPr="00E54D22">
        <w:rPr>
          <w:lang w:val="en-GB"/>
        </w:rPr>
        <w:t xml:space="preserve"> in </w:t>
      </w:r>
      <w:r w:rsidR="001E61FD" w:rsidRPr="00E54D22">
        <w:rPr>
          <w:lang w:val="en-GB"/>
        </w:rPr>
        <w:t>PRIM</w:t>
      </w:r>
      <w:r w:rsidR="001E61FD">
        <w:rPr>
          <w:lang w:val="en-GB"/>
        </w:rPr>
        <w:t>o</w:t>
      </w:r>
      <w:r w:rsidR="00E54D22" w:rsidRPr="00E54D22">
        <w:rPr>
          <w:lang w:val="en-GB"/>
        </w:rPr>
        <w:t>.</w:t>
      </w:r>
      <w:r w:rsidR="00024AAC">
        <w:rPr>
          <w:lang w:val="en-GB"/>
        </w:rPr>
        <w:t xml:space="preserve"> </w:t>
      </w:r>
      <w:r w:rsidR="006C16CF">
        <w:rPr>
          <w:lang w:val="en-GB"/>
        </w:rPr>
        <w:t>PRIMo might not cover all possible processed products to be developed</w:t>
      </w:r>
      <w:r w:rsidR="00534E88">
        <w:rPr>
          <w:lang w:val="en-GB"/>
        </w:rPr>
        <w:t xml:space="preserve"> in the future</w:t>
      </w:r>
      <w:r w:rsidR="006C16CF">
        <w:rPr>
          <w:lang w:val="en-GB"/>
        </w:rPr>
        <w:t xml:space="preserve"> e.g</w:t>
      </w:r>
      <w:r w:rsidR="004848F7">
        <w:rPr>
          <w:lang w:val="en-GB"/>
        </w:rPr>
        <w:t>.</w:t>
      </w:r>
      <w:r w:rsidR="006C16CF">
        <w:rPr>
          <w:lang w:val="en-GB"/>
        </w:rPr>
        <w:t xml:space="preserve"> dried banana peels and onion oil</w:t>
      </w:r>
      <w:r w:rsidR="00534E88">
        <w:rPr>
          <w:lang w:val="en-GB"/>
        </w:rPr>
        <w:t>. T</w:t>
      </w:r>
      <w:r w:rsidR="006C16CF">
        <w:rPr>
          <w:lang w:val="en-GB"/>
        </w:rPr>
        <w:t>herefore, it is for FBO to prove that the processed product is safe.</w:t>
      </w:r>
    </w:p>
    <w:p w14:paraId="5F1DDE47" w14:textId="4CD883D4" w:rsidR="002D546A" w:rsidRDefault="002D546A" w:rsidP="00E76A81">
      <w:pPr>
        <w:spacing w:before="120" w:after="120"/>
        <w:jc w:val="both"/>
        <w:rPr>
          <w:lang w:val="en-GB"/>
        </w:rPr>
      </w:pPr>
      <w:r w:rsidRPr="002D3960">
        <w:rPr>
          <w:b/>
          <w:lang w:val="en-GB"/>
        </w:rPr>
        <w:t>For feed</w:t>
      </w:r>
      <w:r w:rsidR="008B5AB4" w:rsidRPr="002D3960">
        <w:rPr>
          <w:b/>
          <w:lang w:val="en-GB"/>
        </w:rPr>
        <w:t>:</w:t>
      </w:r>
      <w:r w:rsidRPr="002D546A">
        <w:t xml:space="preserve"> </w:t>
      </w:r>
      <w:r w:rsidRPr="002D546A">
        <w:rPr>
          <w:lang w:val="en-GB"/>
        </w:rPr>
        <w:t>national residue intake models are used, e</w:t>
      </w:r>
      <w:r>
        <w:rPr>
          <w:lang w:val="en-GB"/>
        </w:rPr>
        <w:t>.</w:t>
      </w:r>
      <w:r w:rsidRPr="002D546A">
        <w:rPr>
          <w:lang w:val="en-GB"/>
        </w:rPr>
        <w:t>g</w:t>
      </w:r>
      <w:r>
        <w:rPr>
          <w:lang w:val="en-GB"/>
        </w:rPr>
        <w:t>.</w:t>
      </w:r>
      <w:r w:rsidRPr="002D546A">
        <w:rPr>
          <w:lang w:val="en-GB"/>
        </w:rPr>
        <w:t xml:space="preserve"> FAVV-PSTI tool in Belgium</w:t>
      </w:r>
      <w:r>
        <w:rPr>
          <w:lang w:val="en-GB"/>
        </w:rPr>
        <w:t>.</w:t>
      </w:r>
    </w:p>
    <w:p w14:paraId="3721E3A3" w14:textId="23A05344" w:rsidR="00AF5939" w:rsidRDefault="002D546A" w:rsidP="00E76A81">
      <w:pPr>
        <w:spacing w:before="120" w:after="120"/>
        <w:jc w:val="both"/>
        <w:rPr>
          <w:lang w:val="en-GB"/>
        </w:rPr>
      </w:pPr>
      <w:r>
        <w:rPr>
          <w:lang w:val="en-GB"/>
        </w:rPr>
        <w:t>T</w:t>
      </w:r>
      <w:r w:rsidR="008B5AB4" w:rsidRPr="008B5AB4">
        <w:rPr>
          <w:lang w:val="en-GB"/>
        </w:rPr>
        <w:t>he risk for animal health is estimated taking into account the percentage of the product in the daily ration. In the case of food-producing animals, the safety of food derived from these</w:t>
      </w:r>
      <w:r w:rsidR="002D3960">
        <w:rPr>
          <w:lang w:val="en-GB"/>
        </w:rPr>
        <w:t xml:space="preserve"> animals must also be assessed.</w:t>
      </w:r>
    </w:p>
    <w:p w14:paraId="0E037A45" w14:textId="77777777" w:rsidR="00314496" w:rsidRPr="00C9399A" w:rsidRDefault="00314496" w:rsidP="00314496">
      <w:pPr>
        <w:rPr>
          <w:b/>
          <w:lang w:val="en-IE" w:eastAsia="en-GB"/>
        </w:rPr>
      </w:pPr>
      <w:r>
        <w:rPr>
          <w:b/>
          <w:lang w:val="en-IE" w:eastAsia="en-GB"/>
        </w:rPr>
        <w:t>Relevant issues for consideration for the risk assessment for processed/composite products</w:t>
      </w:r>
    </w:p>
    <w:p w14:paraId="36765BDF" w14:textId="77777777" w:rsidR="00314496" w:rsidRPr="001B7119" w:rsidRDefault="00314496" w:rsidP="00314496">
      <w:pPr>
        <w:rPr>
          <w:lang w:val="en-IE"/>
        </w:rPr>
      </w:pPr>
      <w:r w:rsidRPr="00BD2EFF">
        <w:rPr>
          <w:lang w:val="en-IE"/>
        </w:rPr>
        <w:t xml:space="preserve">For the risk assessment </w:t>
      </w:r>
      <w:r>
        <w:rPr>
          <w:lang w:val="en-IE"/>
        </w:rPr>
        <w:t xml:space="preserve">of </w:t>
      </w:r>
      <w:r w:rsidRPr="001B7119">
        <w:rPr>
          <w:lang w:val="en-IE"/>
        </w:rPr>
        <w:t>processed/composite products the following should be considered:</w:t>
      </w:r>
    </w:p>
    <w:p w14:paraId="75AF4A55" w14:textId="77777777" w:rsidR="00314496" w:rsidRPr="001B7119" w:rsidRDefault="00314496" w:rsidP="00314496">
      <w:pPr>
        <w:pStyle w:val="ListParagraph"/>
        <w:numPr>
          <w:ilvl w:val="0"/>
          <w:numId w:val="36"/>
        </w:numPr>
        <w:rPr>
          <w:lang w:val="en-IE"/>
        </w:rPr>
      </w:pPr>
      <w:r w:rsidRPr="001B7119">
        <w:rPr>
          <w:rFonts w:asciiTheme="minorHAnsi" w:hAnsiTheme="minorHAnsi" w:cstheme="minorBidi"/>
          <w:lang w:val="en-IE"/>
        </w:rPr>
        <w:t>the existence or not of specific consumption data for the processed product</w:t>
      </w:r>
      <w:r>
        <w:rPr>
          <w:rFonts w:asciiTheme="minorHAnsi" w:hAnsiTheme="minorHAnsi" w:cstheme="minorBidi"/>
          <w:lang w:val="en-IE"/>
        </w:rPr>
        <w:t>. In the absence of such, the consumption figures for the unprocessed product should be used</w:t>
      </w:r>
    </w:p>
    <w:p w14:paraId="25043A13" w14:textId="6E7CA4B5" w:rsidR="00314496" w:rsidRPr="00BB3266" w:rsidRDefault="00314496" w:rsidP="00BB3266">
      <w:pPr>
        <w:pStyle w:val="ListParagraph"/>
        <w:numPr>
          <w:ilvl w:val="0"/>
          <w:numId w:val="36"/>
        </w:numPr>
        <w:rPr>
          <w:lang w:val="en-IE"/>
        </w:rPr>
      </w:pPr>
      <w:r>
        <w:rPr>
          <w:rFonts w:asciiTheme="minorHAnsi" w:hAnsiTheme="minorHAnsi" w:cstheme="minorBidi"/>
          <w:lang w:val="en-IE"/>
        </w:rPr>
        <w:t>the principles laid down in the Working instructions for the Rapid Alert System for Food and Feed (</w:t>
      </w:r>
      <w:hyperlink r:id="rId19" w:history="1">
        <w:r w:rsidRPr="001B7119">
          <w:rPr>
            <w:rStyle w:val="Hyperlink"/>
            <w:rFonts w:asciiTheme="minorHAnsi" w:hAnsiTheme="minorHAnsi" w:cstheme="minorBidi"/>
            <w:lang w:val="en-IE"/>
          </w:rPr>
          <w:t>RASFF WI rev. 2</w:t>
        </w:r>
      </w:hyperlink>
      <w:r>
        <w:rPr>
          <w:rFonts w:asciiTheme="minorHAnsi" w:hAnsiTheme="minorHAnsi" w:cstheme="minorBidi"/>
          <w:lang w:val="en-IE"/>
        </w:rPr>
        <w:t>).</w:t>
      </w:r>
    </w:p>
    <w:p w14:paraId="51960C05" w14:textId="77777777" w:rsidR="00314496" w:rsidRDefault="00314496" w:rsidP="00E76A81">
      <w:pPr>
        <w:spacing w:before="120" w:after="120"/>
        <w:jc w:val="both"/>
        <w:rPr>
          <w:lang w:val="en-GB"/>
        </w:rPr>
      </w:pPr>
    </w:p>
    <w:p w14:paraId="0DFB08FA" w14:textId="1F43534C" w:rsidR="002842CF" w:rsidRDefault="0059436C" w:rsidP="00E76A81">
      <w:pPr>
        <w:spacing w:before="120" w:after="120"/>
        <w:jc w:val="both"/>
        <w:rPr>
          <w:lang w:val="en-GB"/>
        </w:rPr>
      </w:pPr>
      <w:r w:rsidRPr="00041449">
        <w:rPr>
          <w:b/>
          <w:lang w:val="en-GB"/>
        </w:rPr>
        <w:t>Case a)</w:t>
      </w:r>
      <w:r>
        <w:rPr>
          <w:lang w:val="en-GB"/>
        </w:rPr>
        <w:t xml:space="preserve"> Y</w:t>
      </w:r>
      <w:r w:rsidR="00973374">
        <w:rPr>
          <w:lang w:val="en-GB"/>
        </w:rPr>
        <w:t xml:space="preserve">es </w:t>
      </w:r>
      <w:r w:rsidR="00973374" w:rsidRPr="00973374">
        <w:rPr>
          <w:lang w:val="en-GB"/>
        </w:rPr>
        <w:sym w:font="Wingdings" w:char="F0E0"/>
      </w:r>
      <w:r w:rsidR="008A60B5">
        <w:rPr>
          <w:lang w:val="en-GB"/>
        </w:rPr>
        <w:t xml:space="preserve"> </w:t>
      </w:r>
      <w:r w:rsidR="00761F8B">
        <w:rPr>
          <w:lang w:val="en-GB"/>
        </w:rPr>
        <w:t xml:space="preserve">Action to address the health risk (e.g. removal of the product) </w:t>
      </w:r>
      <w:r w:rsidR="008A60B5">
        <w:rPr>
          <w:lang w:val="en-GB"/>
        </w:rPr>
        <w:t>is considered</w:t>
      </w:r>
      <w:r w:rsidR="00761F8B">
        <w:rPr>
          <w:lang w:val="en-GB"/>
        </w:rPr>
        <w:t>.</w:t>
      </w:r>
      <w:r w:rsidR="008A60B5">
        <w:rPr>
          <w:lang w:val="en-GB"/>
        </w:rPr>
        <w:t xml:space="preserve"> </w:t>
      </w:r>
      <w:r w:rsidR="00761F8B">
        <w:rPr>
          <w:lang w:val="en-GB"/>
        </w:rPr>
        <w:t>H</w:t>
      </w:r>
      <w:r w:rsidR="008A60B5">
        <w:rPr>
          <w:lang w:val="en-GB"/>
        </w:rPr>
        <w:t xml:space="preserve">owever, in case there is no </w:t>
      </w:r>
      <w:r w:rsidR="008A60B5" w:rsidRPr="008A60B5">
        <w:rPr>
          <w:lang w:val="en-GB"/>
        </w:rPr>
        <w:t>specific consumption figures for the processed product and no in</w:t>
      </w:r>
      <w:r w:rsidR="008A60B5">
        <w:rPr>
          <w:lang w:val="en-GB"/>
        </w:rPr>
        <w:t xml:space="preserve">formation on </w:t>
      </w:r>
      <w:r w:rsidR="00E54D22">
        <w:rPr>
          <w:lang w:val="en-GB"/>
        </w:rPr>
        <w:t>processing effects</w:t>
      </w:r>
      <w:r w:rsidR="00761F8B">
        <w:rPr>
          <w:lang w:val="en-GB"/>
        </w:rPr>
        <w:t xml:space="preserve"> expert judgement of the specific case is needed and moving to Step 3 first may be more appropriate.</w:t>
      </w:r>
    </w:p>
    <w:p w14:paraId="5044D0D7" w14:textId="55D95768" w:rsidR="00973374" w:rsidRDefault="00973374" w:rsidP="00E76A81">
      <w:pPr>
        <w:spacing w:before="120" w:after="120"/>
        <w:jc w:val="both"/>
        <w:rPr>
          <w:lang w:val="en-GB"/>
        </w:rPr>
      </w:pPr>
      <w:r w:rsidRPr="00041449">
        <w:rPr>
          <w:b/>
          <w:lang w:val="en-GB"/>
        </w:rPr>
        <w:t>Case b)</w:t>
      </w:r>
      <w:r>
        <w:rPr>
          <w:lang w:val="en-GB"/>
        </w:rPr>
        <w:t xml:space="preserve"> No </w:t>
      </w:r>
      <w:r w:rsidRPr="00973374">
        <w:rPr>
          <w:lang w:val="en-GB"/>
        </w:rPr>
        <w:sym w:font="Wingdings" w:char="F0E0"/>
      </w:r>
      <w:r>
        <w:rPr>
          <w:lang w:val="en-GB"/>
        </w:rPr>
        <w:t xml:space="preserve"> Move to step 3</w:t>
      </w:r>
    </w:p>
    <w:p w14:paraId="4BBF09CD" w14:textId="77777777" w:rsidR="00DF5554" w:rsidRPr="00024AAC" w:rsidRDefault="00DF5554" w:rsidP="00E76A81">
      <w:pPr>
        <w:spacing w:before="120" w:after="120"/>
        <w:jc w:val="both"/>
        <w:rPr>
          <w:lang w:val="en-GB"/>
        </w:rPr>
      </w:pPr>
    </w:p>
    <w:p w14:paraId="3C19B25A" w14:textId="59AF6BDD" w:rsidR="00E76A81" w:rsidRDefault="00774536" w:rsidP="00E76A81">
      <w:pPr>
        <w:spacing w:before="120" w:after="120"/>
        <w:jc w:val="both"/>
        <w:rPr>
          <w:lang w:val="en-GB"/>
        </w:rPr>
      </w:pPr>
      <w:r w:rsidRPr="00F13F2B">
        <w:rPr>
          <w:b/>
          <w:u w:val="single"/>
          <w:lang w:val="en-GB"/>
        </w:rPr>
        <w:t xml:space="preserve">Step 3 </w:t>
      </w:r>
      <w:r w:rsidRPr="00F13F2B">
        <w:rPr>
          <w:b/>
          <w:highlight w:val="cyan"/>
          <w:u w:val="single"/>
          <w:lang w:val="en-GB"/>
        </w:rPr>
        <w:t xml:space="preserve">(Decision on the </w:t>
      </w:r>
      <w:r w:rsidR="00F102D0" w:rsidRPr="00F13F2B">
        <w:rPr>
          <w:b/>
          <w:highlight w:val="cyan"/>
          <w:u w:val="single"/>
          <w:lang w:val="en-GB"/>
        </w:rPr>
        <w:t xml:space="preserve">use of a </w:t>
      </w:r>
      <w:r w:rsidRPr="00F13F2B">
        <w:rPr>
          <w:b/>
          <w:highlight w:val="cyan"/>
          <w:u w:val="single"/>
          <w:lang w:val="en-GB"/>
        </w:rPr>
        <w:t>Pf)</w:t>
      </w:r>
      <w:r w:rsidRPr="00F13F2B">
        <w:rPr>
          <w:b/>
          <w:u w:val="single"/>
          <w:lang w:val="en-GB"/>
        </w:rPr>
        <w:t>:</w:t>
      </w:r>
      <w:r w:rsidRPr="00024AAC">
        <w:rPr>
          <w:lang w:val="en-GB"/>
        </w:rPr>
        <w:t xml:space="preserve"> </w:t>
      </w:r>
      <w:r w:rsidR="00F102D0">
        <w:rPr>
          <w:lang w:val="en-GB"/>
        </w:rPr>
        <w:t xml:space="preserve">In </w:t>
      </w:r>
      <w:r w:rsidR="004C0D4A">
        <w:rPr>
          <w:lang w:val="en-GB"/>
        </w:rPr>
        <w:t xml:space="preserve">the </w:t>
      </w:r>
      <w:r w:rsidR="00F102D0">
        <w:rPr>
          <w:lang w:val="en-GB"/>
        </w:rPr>
        <w:t>case</w:t>
      </w:r>
      <w:r w:rsidR="004C0D4A">
        <w:rPr>
          <w:lang w:val="en-GB"/>
        </w:rPr>
        <w:t xml:space="preserve">s of Step 1 1a), 1b) and 2a), non-compliances may be expected in some processed products that have undergone processes resulting in expected dilution or concentration of residues. </w:t>
      </w:r>
      <w:r w:rsidR="00F102D0">
        <w:rPr>
          <w:lang w:val="en-GB"/>
        </w:rPr>
        <w:t xml:space="preserve"> </w:t>
      </w:r>
    </w:p>
    <w:p w14:paraId="231B2D3D" w14:textId="3EC2CCA3" w:rsidR="004C0D4A" w:rsidRDefault="004C0D4A" w:rsidP="00E76A81">
      <w:pPr>
        <w:spacing w:before="120" w:after="120"/>
        <w:jc w:val="both"/>
        <w:rPr>
          <w:lang w:val="en-GB"/>
        </w:rPr>
      </w:pPr>
      <w:r>
        <w:rPr>
          <w:lang w:val="en-GB"/>
        </w:rPr>
        <w:t xml:space="preserve">In such cases the use of Pfs should be considered. </w:t>
      </w:r>
    </w:p>
    <w:p w14:paraId="52314DEC" w14:textId="56C3AD87" w:rsidR="004C0D4A" w:rsidRPr="00024AAC" w:rsidRDefault="004C0D4A" w:rsidP="00E76A81">
      <w:pPr>
        <w:spacing w:before="120" w:after="120"/>
        <w:jc w:val="both"/>
        <w:rPr>
          <w:lang w:val="en-GB"/>
        </w:rPr>
      </w:pPr>
      <w:r>
        <w:rPr>
          <w:lang w:val="en-GB"/>
        </w:rPr>
        <w:t>Question: is</w:t>
      </w:r>
      <w:r w:rsidR="00256764">
        <w:rPr>
          <w:lang w:val="en-GB"/>
        </w:rPr>
        <w:t xml:space="preserve"> a processing factor (Pf</w:t>
      </w:r>
      <w:r>
        <w:rPr>
          <w:lang w:val="en-GB"/>
        </w:rPr>
        <w:t>) available?</w:t>
      </w:r>
    </w:p>
    <w:p w14:paraId="40DBF465" w14:textId="4981E630" w:rsidR="00E76A81" w:rsidRPr="002D3960" w:rsidRDefault="0059436C" w:rsidP="002D3960">
      <w:pPr>
        <w:pStyle w:val="ListParagraph"/>
        <w:numPr>
          <w:ilvl w:val="0"/>
          <w:numId w:val="27"/>
        </w:numPr>
        <w:spacing w:before="120" w:after="120"/>
        <w:jc w:val="both"/>
        <w:rPr>
          <w:lang w:val="en-GB"/>
        </w:rPr>
      </w:pPr>
      <w:r w:rsidRPr="002D3960">
        <w:rPr>
          <w:lang w:val="en-GB"/>
        </w:rPr>
        <w:lastRenderedPageBreak/>
        <w:t>Y</w:t>
      </w:r>
      <w:r w:rsidR="00774536" w:rsidRPr="002D3960">
        <w:rPr>
          <w:lang w:val="en-GB"/>
        </w:rPr>
        <w:t>es</w:t>
      </w:r>
      <w:r w:rsidR="00024AAC" w:rsidRPr="002D3960">
        <w:rPr>
          <w:lang w:val="en-GB"/>
        </w:rPr>
        <w:t xml:space="preserve"> </w:t>
      </w:r>
      <w:r w:rsidR="00024AAC" w:rsidRPr="00774536">
        <w:rPr>
          <w:lang w:val="en-GB"/>
        </w:rPr>
        <w:sym w:font="Wingdings" w:char="F0E0"/>
      </w:r>
      <w:r w:rsidR="00024AAC" w:rsidRPr="002D3960">
        <w:rPr>
          <w:lang w:val="en-GB"/>
        </w:rPr>
        <w:t xml:space="preserve"> </w:t>
      </w:r>
      <w:r w:rsidR="004C0D4A" w:rsidRPr="002D3960">
        <w:rPr>
          <w:lang w:val="en-GB"/>
        </w:rPr>
        <w:t>take the Pf into account in the final decision on compliance (Step 4)</w:t>
      </w:r>
    </w:p>
    <w:p w14:paraId="3931EF56" w14:textId="572706E5" w:rsidR="004C0D4A" w:rsidRPr="002D3960" w:rsidRDefault="00774536" w:rsidP="002D3960">
      <w:pPr>
        <w:pStyle w:val="ListParagraph"/>
        <w:numPr>
          <w:ilvl w:val="0"/>
          <w:numId w:val="27"/>
        </w:numPr>
        <w:spacing w:before="120" w:after="120"/>
        <w:jc w:val="both"/>
        <w:rPr>
          <w:lang w:val="en-GB"/>
        </w:rPr>
      </w:pPr>
      <w:r w:rsidRPr="002D3960">
        <w:rPr>
          <w:lang w:val="en-GB"/>
        </w:rPr>
        <w:t xml:space="preserve">No </w:t>
      </w:r>
      <w:r w:rsidRPr="00774536">
        <w:rPr>
          <w:lang w:val="en-GB"/>
        </w:rPr>
        <w:sym w:font="Wingdings" w:char="F0E0"/>
      </w:r>
      <w:r w:rsidRPr="002D3960">
        <w:rPr>
          <w:lang w:val="en-GB"/>
        </w:rPr>
        <w:t xml:space="preserve"> </w:t>
      </w:r>
      <w:r w:rsidR="004C0D4A" w:rsidRPr="002D3960">
        <w:rPr>
          <w:lang w:val="en-GB"/>
        </w:rPr>
        <w:t>FBO to provide justification why the processed product complies with the MRL (data on processing, other relevant information, analysis of raw materials proving compliance)</w:t>
      </w:r>
    </w:p>
    <w:p w14:paraId="711B8435" w14:textId="77777777" w:rsidR="00DF5554" w:rsidRDefault="00DF5554" w:rsidP="00E76A81">
      <w:pPr>
        <w:spacing w:before="120" w:after="120"/>
        <w:jc w:val="both"/>
        <w:rPr>
          <w:lang w:val="en-GB"/>
        </w:rPr>
      </w:pPr>
    </w:p>
    <w:p w14:paraId="183A9AAA" w14:textId="7B33EA09" w:rsidR="00774536" w:rsidRDefault="00774536" w:rsidP="00E76A81">
      <w:pPr>
        <w:spacing w:before="120" w:after="120"/>
        <w:jc w:val="both"/>
        <w:rPr>
          <w:lang w:val="en-GB"/>
        </w:rPr>
      </w:pPr>
      <w:r w:rsidRPr="00F13F2B">
        <w:rPr>
          <w:b/>
          <w:u w:val="single"/>
          <w:lang w:val="en-GB"/>
        </w:rPr>
        <w:t xml:space="preserve">Step 4: </w:t>
      </w:r>
      <w:r w:rsidR="00DF5554" w:rsidRPr="00F13F2B">
        <w:rPr>
          <w:b/>
          <w:u w:val="single"/>
          <w:lang w:val="en-GB"/>
        </w:rPr>
        <w:t>(</w:t>
      </w:r>
      <w:r w:rsidR="000930B8" w:rsidRPr="00F13F2B">
        <w:rPr>
          <w:b/>
          <w:highlight w:val="cyan"/>
          <w:u w:val="single"/>
          <w:lang w:val="en-GB"/>
        </w:rPr>
        <w:t>Final decision on compliance</w:t>
      </w:r>
      <w:r w:rsidR="00DF5554" w:rsidRPr="00F13F2B">
        <w:rPr>
          <w:b/>
          <w:highlight w:val="cyan"/>
          <w:u w:val="single"/>
          <w:lang w:val="en-GB"/>
        </w:rPr>
        <w:t>)</w:t>
      </w:r>
      <w:r w:rsidR="000930B8" w:rsidRPr="00F13F2B">
        <w:rPr>
          <w:b/>
          <w:highlight w:val="cyan"/>
          <w:u w:val="single"/>
          <w:lang w:val="en-GB"/>
        </w:rPr>
        <w:t>:</w:t>
      </w:r>
      <w:r w:rsidR="000930B8">
        <w:rPr>
          <w:lang w:val="en-GB"/>
        </w:rPr>
        <w:t xml:space="preserve"> </w:t>
      </w:r>
      <w:r>
        <w:rPr>
          <w:lang w:val="en-GB"/>
        </w:rPr>
        <w:t>Asse</w:t>
      </w:r>
      <w:r w:rsidR="00A25DB7">
        <w:rPr>
          <w:lang w:val="en-GB"/>
        </w:rPr>
        <w:t>s</w:t>
      </w:r>
      <w:r>
        <w:rPr>
          <w:lang w:val="en-GB"/>
        </w:rPr>
        <w:t>s justification provided by the FBO and take</w:t>
      </w:r>
      <w:r w:rsidR="00B6529F">
        <w:rPr>
          <w:lang w:val="en-GB"/>
        </w:rPr>
        <w:t xml:space="preserve"> a</w:t>
      </w:r>
      <w:r>
        <w:rPr>
          <w:lang w:val="en-GB"/>
        </w:rPr>
        <w:t xml:space="preserve"> decision on enforcement taking into account all elements. When taking the decision on compliance or noncompl</w:t>
      </w:r>
      <w:r w:rsidR="00024AAC">
        <w:rPr>
          <w:lang w:val="en-GB"/>
        </w:rPr>
        <w:t xml:space="preserve">iance, the </w:t>
      </w:r>
      <w:r w:rsidR="00534E88">
        <w:rPr>
          <w:lang w:val="en-GB"/>
        </w:rPr>
        <w:t xml:space="preserve">measurement </w:t>
      </w:r>
      <w:r w:rsidR="00024AAC">
        <w:rPr>
          <w:lang w:val="en-GB"/>
        </w:rPr>
        <w:t>uncertainty</w:t>
      </w:r>
      <w:r>
        <w:rPr>
          <w:lang w:val="en-GB"/>
        </w:rPr>
        <w:t xml:space="preserve"> </w:t>
      </w:r>
      <w:r w:rsidR="00722A3F" w:rsidRPr="00722A3F">
        <w:rPr>
          <w:lang w:val="en-GB"/>
        </w:rPr>
        <w:t xml:space="preserve">and the variability of processing factors </w:t>
      </w:r>
      <w:r>
        <w:rPr>
          <w:lang w:val="en-GB"/>
        </w:rPr>
        <w:t>should be taken into account</w:t>
      </w:r>
      <w:r w:rsidR="00196DA3">
        <w:rPr>
          <w:vertAlign w:val="superscript"/>
          <w:lang w:val="en-GB"/>
        </w:rPr>
        <w:t>10</w:t>
      </w:r>
      <w:r w:rsidR="00A25DB7" w:rsidRPr="00232D6E">
        <w:rPr>
          <w:vertAlign w:val="superscript"/>
          <w:lang w:val="en-GB"/>
        </w:rPr>
        <w:t>,</w:t>
      </w:r>
      <w:r w:rsidR="00374118">
        <w:rPr>
          <w:rStyle w:val="FootnoteReference"/>
          <w:lang w:val="en-GB"/>
        </w:rPr>
        <w:footnoteReference w:id="11"/>
      </w:r>
      <w:r>
        <w:rPr>
          <w:lang w:val="en-GB"/>
        </w:rPr>
        <w:t xml:space="preserve">. </w:t>
      </w:r>
    </w:p>
    <w:p w14:paraId="3694B7E2" w14:textId="6D78FEC3" w:rsidR="002842CF" w:rsidRDefault="00E76A81" w:rsidP="00C9399A">
      <w:pPr>
        <w:spacing w:before="120" w:after="120"/>
        <w:jc w:val="both"/>
        <w:rPr>
          <w:lang w:val="en-GB"/>
        </w:rPr>
      </w:pPr>
      <w:r w:rsidRPr="00C9399A">
        <w:rPr>
          <w:lang w:val="en-GB"/>
        </w:rPr>
        <w:t xml:space="preserve">The specific process used by the food business operator is best taken into account in this way. </w:t>
      </w:r>
    </w:p>
    <w:p w14:paraId="55D26903" w14:textId="77777777" w:rsidR="002D3960" w:rsidRPr="00C9399A" w:rsidRDefault="002D3960" w:rsidP="00C9399A">
      <w:pPr>
        <w:spacing w:before="120" w:after="120"/>
        <w:jc w:val="both"/>
        <w:rPr>
          <w:lang w:val="en-GB"/>
        </w:rPr>
      </w:pPr>
    </w:p>
    <w:p w14:paraId="3CFE7BD6" w14:textId="2498F869" w:rsidR="00E76A81" w:rsidRPr="00C9399A" w:rsidRDefault="00BC7F70" w:rsidP="00C9399A">
      <w:pPr>
        <w:spacing w:before="120" w:after="120"/>
        <w:jc w:val="both"/>
        <w:rPr>
          <w:b/>
          <w:lang w:val="en-GB"/>
        </w:rPr>
      </w:pPr>
      <w:r w:rsidRPr="007E5D42">
        <w:rPr>
          <w:b/>
          <w:lang w:val="en-GB"/>
        </w:rPr>
        <w:t>Evidence</w:t>
      </w:r>
      <w:r w:rsidR="00E76A81" w:rsidRPr="00C9399A">
        <w:rPr>
          <w:b/>
          <w:lang w:val="en-GB"/>
        </w:rPr>
        <w:t xml:space="preserve"> of compliant raw materials</w:t>
      </w:r>
    </w:p>
    <w:p w14:paraId="7F2DA36D" w14:textId="6F286F56" w:rsidR="00E76A81" w:rsidRDefault="00E76A81" w:rsidP="00C9399A">
      <w:pPr>
        <w:spacing w:before="120" w:after="120"/>
        <w:jc w:val="both"/>
        <w:rPr>
          <w:lang w:val="en-GB"/>
        </w:rPr>
      </w:pPr>
      <w:r w:rsidRPr="00564ACF">
        <w:rPr>
          <w:lang w:val="en-GB"/>
        </w:rPr>
        <w:t xml:space="preserve">If the </w:t>
      </w:r>
      <w:r w:rsidR="00E54D22">
        <w:rPr>
          <w:lang w:val="en-GB"/>
        </w:rPr>
        <w:t>FBO</w:t>
      </w:r>
      <w:r w:rsidRPr="00564ACF">
        <w:rPr>
          <w:lang w:val="en-GB"/>
        </w:rPr>
        <w:t xml:space="preserve"> ca</w:t>
      </w:r>
      <w:r w:rsidR="00CC4AA4">
        <w:rPr>
          <w:lang w:val="en-GB"/>
        </w:rPr>
        <w:t xml:space="preserve">n </w:t>
      </w:r>
      <w:r w:rsidR="00513A31">
        <w:rPr>
          <w:lang w:val="en-GB"/>
        </w:rPr>
        <w:t xml:space="preserve"> </w:t>
      </w:r>
      <w:r w:rsidRPr="00564ACF">
        <w:rPr>
          <w:lang w:val="en-GB"/>
        </w:rPr>
        <w:t>prove</w:t>
      </w:r>
      <w:r w:rsidR="00CC4AA4">
        <w:rPr>
          <w:lang w:val="en-GB"/>
        </w:rPr>
        <w:t xml:space="preserve"> beyond any doubt</w:t>
      </w:r>
      <w:r w:rsidRPr="00564ACF">
        <w:rPr>
          <w:lang w:val="en-GB"/>
        </w:rPr>
        <w:t xml:space="preserve"> that compliant </w:t>
      </w:r>
      <w:r w:rsidR="00EE2DB0" w:rsidRPr="00EE2DB0">
        <w:rPr>
          <w:lang w:val="en-GB"/>
        </w:rPr>
        <w:t>relevant product</w:t>
      </w:r>
      <w:r w:rsidR="004D14C3">
        <w:rPr>
          <w:lang w:val="en-GB"/>
        </w:rPr>
        <w:t>s</w:t>
      </w:r>
      <w:r w:rsidR="00EE2DB0" w:rsidRPr="00EE2DB0">
        <w:rPr>
          <w:lang w:val="en-GB"/>
        </w:rPr>
        <w:t xml:space="preserve"> covered by Annex I </w:t>
      </w:r>
      <w:r w:rsidRPr="00564ACF">
        <w:rPr>
          <w:lang w:val="en-GB"/>
        </w:rPr>
        <w:t xml:space="preserve">have been used (commodities </w:t>
      </w:r>
      <w:r>
        <w:rPr>
          <w:lang w:val="en-GB"/>
        </w:rPr>
        <w:t xml:space="preserve">according to </w:t>
      </w:r>
      <w:r w:rsidRPr="00564ACF">
        <w:rPr>
          <w:lang w:val="en-GB"/>
        </w:rPr>
        <w:t xml:space="preserve">Annex I </w:t>
      </w:r>
      <w:r w:rsidRPr="008F0968">
        <w:rPr>
          <w:lang w:val="en-GB"/>
        </w:rPr>
        <w:t>of Regulation (EC) No 396/2005),</w:t>
      </w:r>
      <w:r w:rsidR="00B916C8">
        <w:rPr>
          <w:lang w:val="en-GB"/>
        </w:rPr>
        <w:t xml:space="preserve"> </w:t>
      </w:r>
      <w:r w:rsidRPr="00564ACF">
        <w:rPr>
          <w:lang w:val="en-GB"/>
        </w:rPr>
        <w:t>the processed product made thereof has also to be considered compliant. In this case, it is not necessary to provide processing factors.</w:t>
      </w:r>
    </w:p>
    <w:p w14:paraId="38EC89A8" w14:textId="77777777" w:rsidR="0079316F" w:rsidRDefault="0079316F" w:rsidP="00C9399A">
      <w:pPr>
        <w:spacing w:before="120" w:after="120"/>
        <w:jc w:val="both"/>
        <w:rPr>
          <w:lang w:val="en-GB"/>
        </w:rPr>
      </w:pPr>
    </w:p>
    <w:p w14:paraId="7B6CEA3C" w14:textId="08E1F906" w:rsidR="006441EA" w:rsidRPr="00024AAC" w:rsidRDefault="00E76A81" w:rsidP="00024AAC">
      <w:pPr>
        <w:spacing w:before="120" w:after="120"/>
        <w:jc w:val="both"/>
        <w:rPr>
          <w:b/>
          <w:lang w:val="en-GB"/>
        </w:rPr>
      </w:pPr>
      <w:r w:rsidRPr="00E47D36">
        <w:rPr>
          <w:b/>
          <w:lang w:val="en-GB"/>
        </w:rPr>
        <w:t>Minimum requirements for data received from a food business operator</w:t>
      </w:r>
      <w:r w:rsidR="0019301A">
        <w:rPr>
          <w:b/>
          <w:lang w:val="en-GB"/>
        </w:rPr>
        <w:t xml:space="preserve"> </w:t>
      </w:r>
    </w:p>
    <w:p w14:paraId="537E575D" w14:textId="3F264CF8" w:rsidR="00930EFF" w:rsidRPr="006441EA" w:rsidRDefault="00930EFF" w:rsidP="00B25CAD">
      <w:pPr>
        <w:pStyle w:val="ListParagraph"/>
        <w:numPr>
          <w:ilvl w:val="0"/>
          <w:numId w:val="24"/>
        </w:numPr>
        <w:spacing w:before="120" w:after="120"/>
        <w:jc w:val="both"/>
        <w:rPr>
          <w:lang w:val="en-GB"/>
        </w:rPr>
      </w:pPr>
      <w:r w:rsidRPr="006441EA">
        <w:rPr>
          <w:lang w:val="en-GB"/>
        </w:rPr>
        <w:t xml:space="preserve">Processed product </w:t>
      </w:r>
    </w:p>
    <w:p w14:paraId="6AEB9166" w14:textId="30FFA540" w:rsidR="00930EFF" w:rsidRPr="006441EA" w:rsidRDefault="00B25CAD" w:rsidP="00930EFF">
      <w:pPr>
        <w:spacing w:before="120" w:after="120"/>
        <w:jc w:val="both"/>
        <w:rPr>
          <w:lang w:val="en-GB"/>
        </w:rPr>
      </w:pPr>
      <w:r w:rsidRPr="006441EA">
        <w:rPr>
          <w:lang w:val="en-GB"/>
        </w:rPr>
        <w:t>T</w:t>
      </w:r>
      <w:r w:rsidR="00930EFF" w:rsidRPr="006441EA">
        <w:rPr>
          <w:lang w:val="en-GB"/>
        </w:rPr>
        <w:t xml:space="preserve">he name of the processed product e.g. olive oil </w:t>
      </w:r>
    </w:p>
    <w:p w14:paraId="008B941F" w14:textId="45539709" w:rsidR="008C1285" w:rsidRPr="008C1285" w:rsidRDefault="00EE2DB0" w:rsidP="008C1285">
      <w:pPr>
        <w:pStyle w:val="ListParagraph"/>
        <w:numPr>
          <w:ilvl w:val="0"/>
          <w:numId w:val="24"/>
        </w:numPr>
        <w:spacing w:before="120" w:after="120"/>
        <w:jc w:val="both"/>
        <w:rPr>
          <w:lang w:val="en-GB"/>
        </w:rPr>
      </w:pPr>
      <w:r w:rsidRPr="008C1285">
        <w:rPr>
          <w:lang w:val="en-GB"/>
        </w:rPr>
        <w:t xml:space="preserve">Relevant </w:t>
      </w:r>
      <w:r w:rsidR="003044AB">
        <w:rPr>
          <w:lang w:val="en-GB"/>
        </w:rPr>
        <w:t xml:space="preserve">unprocessed </w:t>
      </w:r>
      <w:r w:rsidRPr="008C1285">
        <w:rPr>
          <w:lang w:val="en-GB"/>
        </w:rPr>
        <w:t xml:space="preserve">product covered by Annex I </w:t>
      </w:r>
      <w:r w:rsidR="008F0881" w:rsidRPr="008C1285">
        <w:rPr>
          <w:lang w:val="en-GB"/>
        </w:rPr>
        <w:t>or the product</w:t>
      </w:r>
      <w:r w:rsidR="00444198" w:rsidRPr="008C1285">
        <w:rPr>
          <w:lang w:val="en-GB"/>
        </w:rPr>
        <w:t xml:space="preserve"> from which</w:t>
      </w:r>
      <w:r w:rsidR="008F0881" w:rsidRPr="008C1285">
        <w:rPr>
          <w:lang w:val="en-GB"/>
        </w:rPr>
        <w:t xml:space="preserve"> processing</w:t>
      </w:r>
      <w:r w:rsidR="00444198">
        <w:t xml:space="preserve"> started</w:t>
      </w:r>
    </w:p>
    <w:p w14:paraId="27586F65" w14:textId="7BE69C03" w:rsidR="00930EFF" w:rsidRPr="008C1285" w:rsidRDefault="00B25CAD" w:rsidP="008C1285">
      <w:pPr>
        <w:spacing w:before="120" w:after="120"/>
        <w:jc w:val="both"/>
        <w:rPr>
          <w:lang w:val="en-GB"/>
        </w:rPr>
      </w:pPr>
      <w:r w:rsidRPr="008C1285">
        <w:rPr>
          <w:lang w:val="en-GB"/>
        </w:rPr>
        <w:t xml:space="preserve">The origin of the </w:t>
      </w:r>
      <w:r w:rsidR="00930EFF" w:rsidRPr="008C1285">
        <w:rPr>
          <w:lang w:val="en-GB"/>
        </w:rPr>
        <w:t>processed products e.g. if the processed product is olive oil</w:t>
      </w:r>
      <w:r w:rsidR="008C1285">
        <w:rPr>
          <w:lang w:val="en-GB"/>
        </w:rPr>
        <w:t xml:space="preserve">, </w:t>
      </w:r>
      <w:r w:rsidR="00930EFF" w:rsidRPr="008C1285">
        <w:rPr>
          <w:lang w:val="en-GB"/>
        </w:rPr>
        <w:t xml:space="preserve">the </w:t>
      </w:r>
      <w:r w:rsidR="00EE2DB0" w:rsidRPr="008C1285">
        <w:rPr>
          <w:lang w:val="en-GB"/>
        </w:rPr>
        <w:t xml:space="preserve">relevant </w:t>
      </w:r>
      <w:r w:rsidR="003044AB">
        <w:rPr>
          <w:lang w:val="en-GB"/>
        </w:rPr>
        <w:t xml:space="preserve">unprocessed </w:t>
      </w:r>
      <w:r w:rsidR="00EE2DB0" w:rsidRPr="008C1285">
        <w:rPr>
          <w:lang w:val="en-GB"/>
        </w:rPr>
        <w:t>product covered by Annex I</w:t>
      </w:r>
      <w:r w:rsidR="008C1285">
        <w:rPr>
          <w:lang w:val="en-GB"/>
        </w:rPr>
        <w:t xml:space="preserve"> is olive for oil production.</w:t>
      </w:r>
    </w:p>
    <w:p w14:paraId="74855DA0" w14:textId="66FC56C4" w:rsidR="00B25CAD" w:rsidRPr="006441EA" w:rsidRDefault="00B25CAD" w:rsidP="00EE2DB0">
      <w:pPr>
        <w:pStyle w:val="ListParagraph"/>
        <w:numPr>
          <w:ilvl w:val="0"/>
          <w:numId w:val="25"/>
        </w:numPr>
        <w:spacing w:before="120" w:after="120"/>
        <w:jc w:val="both"/>
        <w:rPr>
          <w:lang w:val="en-GB"/>
        </w:rPr>
      </w:pPr>
      <w:r w:rsidRPr="006441EA">
        <w:rPr>
          <w:lang w:val="en-GB"/>
        </w:rPr>
        <w:t xml:space="preserve">Code of the </w:t>
      </w:r>
      <w:r w:rsidR="00EE2DB0" w:rsidRPr="00EE2DB0">
        <w:rPr>
          <w:lang w:val="en-GB"/>
        </w:rPr>
        <w:t xml:space="preserve">relevant </w:t>
      </w:r>
      <w:r w:rsidR="003044AB">
        <w:rPr>
          <w:lang w:val="en-GB"/>
        </w:rPr>
        <w:t xml:space="preserve">unprocessed </w:t>
      </w:r>
      <w:r w:rsidR="00EE2DB0" w:rsidRPr="00EE2DB0">
        <w:rPr>
          <w:lang w:val="en-GB"/>
        </w:rPr>
        <w:t xml:space="preserve">product covered by Annex I </w:t>
      </w:r>
      <w:r w:rsidR="00EE2DB0">
        <w:rPr>
          <w:lang w:val="en-GB"/>
        </w:rPr>
        <w:t>of</w:t>
      </w:r>
      <w:r w:rsidRPr="006441EA">
        <w:rPr>
          <w:lang w:val="en-GB"/>
        </w:rPr>
        <w:t xml:space="preserve"> Regulation (ΕC) 396/2005</w:t>
      </w:r>
    </w:p>
    <w:p w14:paraId="47BE9963" w14:textId="3C5C0A2E" w:rsidR="00B25CAD" w:rsidRPr="006441EA" w:rsidRDefault="00B25CAD" w:rsidP="00B25CAD">
      <w:pPr>
        <w:spacing w:before="120" w:after="120"/>
        <w:jc w:val="both"/>
        <w:rPr>
          <w:lang w:val="en-GB"/>
        </w:rPr>
      </w:pPr>
      <w:r w:rsidRPr="006441EA">
        <w:rPr>
          <w:lang w:val="en-GB"/>
        </w:rPr>
        <w:t xml:space="preserve">The seven-digit code as it appears in the first column of Annex I of Regulation 396/2005 </w:t>
      </w:r>
    </w:p>
    <w:p w14:paraId="7844EB7D" w14:textId="775F9B5A" w:rsidR="00356E8D" w:rsidRPr="00962190" w:rsidRDefault="00962190" w:rsidP="00962190">
      <w:pPr>
        <w:spacing w:before="120" w:after="120"/>
        <w:jc w:val="both"/>
        <w:rPr>
          <w:b/>
          <w:lang w:val="en-GB"/>
        </w:rPr>
      </w:pPr>
      <w:r w:rsidRPr="00962190">
        <w:rPr>
          <w:b/>
          <w:lang w:val="en-GB"/>
        </w:rPr>
        <w:t>The</w:t>
      </w:r>
      <w:r w:rsidR="00B6529F">
        <w:rPr>
          <w:b/>
          <w:lang w:val="en-GB"/>
        </w:rPr>
        <w:t xml:space="preserve"> additional</w:t>
      </w:r>
      <w:r w:rsidRPr="00962190">
        <w:rPr>
          <w:b/>
          <w:lang w:val="en-GB"/>
        </w:rPr>
        <w:t xml:space="preserve"> </w:t>
      </w:r>
      <w:r>
        <w:rPr>
          <w:b/>
          <w:lang w:val="en-GB"/>
        </w:rPr>
        <w:t xml:space="preserve">requirements </w:t>
      </w:r>
      <w:r w:rsidR="0079316F">
        <w:rPr>
          <w:b/>
          <w:lang w:val="en-GB"/>
        </w:rPr>
        <w:t xml:space="preserve">below </w:t>
      </w:r>
      <w:r w:rsidRPr="00962190">
        <w:rPr>
          <w:b/>
          <w:lang w:val="en-GB"/>
        </w:rPr>
        <w:t>depen</w:t>
      </w:r>
      <w:r>
        <w:rPr>
          <w:b/>
          <w:lang w:val="en-GB"/>
        </w:rPr>
        <w:t>d</w:t>
      </w:r>
      <w:r w:rsidRPr="00962190">
        <w:rPr>
          <w:b/>
          <w:lang w:val="en-GB"/>
        </w:rPr>
        <w:t xml:space="preserve"> on the outcome of the assessment</w:t>
      </w:r>
      <w:r>
        <w:rPr>
          <w:b/>
          <w:lang w:val="en-GB"/>
        </w:rPr>
        <w:t xml:space="preserve"> of the MRL compliance</w:t>
      </w:r>
      <w:r w:rsidRPr="00962190">
        <w:rPr>
          <w:b/>
          <w:lang w:val="en-GB"/>
        </w:rPr>
        <w:t xml:space="preserve"> and </w:t>
      </w:r>
      <w:r>
        <w:rPr>
          <w:b/>
          <w:lang w:val="en-GB"/>
        </w:rPr>
        <w:t>on the</w:t>
      </w:r>
      <w:r w:rsidRPr="00962190">
        <w:rPr>
          <w:b/>
          <w:lang w:val="en-GB"/>
        </w:rPr>
        <w:t xml:space="preserve"> information</w:t>
      </w:r>
      <w:r>
        <w:rPr>
          <w:b/>
          <w:lang w:val="en-GB"/>
        </w:rPr>
        <w:t xml:space="preserve"> provided by</w:t>
      </w:r>
      <w:r w:rsidRPr="00962190">
        <w:rPr>
          <w:b/>
          <w:lang w:val="en-GB"/>
        </w:rPr>
        <w:t xml:space="preserve"> the FBO beforehand</w:t>
      </w:r>
    </w:p>
    <w:p w14:paraId="31FF50E4" w14:textId="51F9D3F3" w:rsidR="000E7CE7" w:rsidRDefault="000E7CE7" w:rsidP="00D1391D">
      <w:pPr>
        <w:pStyle w:val="ListParagraph"/>
        <w:numPr>
          <w:ilvl w:val="0"/>
          <w:numId w:val="25"/>
        </w:numPr>
        <w:spacing w:before="120" w:after="120"/>
        <w:jc w:val="both"/>
        <w:rPr>
          <w:lang w:val="en-GB"/>
        </w:rPr>
      </w:pPr>
      <w:r w:rsidRPr="006441EA">
        <w:rPr>
          <w:lang w:val="en-GB"/>
        </w:rPr>
        <w:t>Proposed processi</w:t>
      </w:r>
      <w:r w:rsidR="0059436C">
        <w:rPr>
          <w:lang w:val="en-GB"/>
        </w:rPr>
        <w:t>ng factor per active substance</w:t>
      </w:r>
      <w:r w:rsidR="00D1391D" w:rsidRPr="00D1391D">
        <w:t xml:space="preserve"> </w:t>
      </w:r>
      <w:r w:rsidR="00D1391D" w:rsidRPr="00D1391D">
        <w:rPr>
          <w:lang w:val="en-GB"/>
        </w:rPr>
        <w:t>according to the residue definition for enforcement</w:t>
      </w:r>
    </w:p>
    <w:p w14:paraId="5D839401" w14:textId="5AC4D6B2" w:rsidR="00DE3626" w:rsidRDefault="00D1766C" w:rsidP="00DE3626">
      <w:pPr>
        <w:pStyle w:val="ListParagraph"/>
        <w:spacing w:before="120" w:after="120"/>
        <w:jc w:val="both"/>
        <w:rPr>
          <w:lang w:val="en-GB"/>
        </w:rPr>
      </w:pPr>
      <w:r>
        <w:rPr>
          <w:lang w:val="en-GB"/>
        </w:rPr>
        <w:t xml:space="preserve">Name of the database </w:t>
      </w:r>
      <w:r w:rsidR="00307F56">
        <w:rPr>
          <w:lang w:val="en-GB"/>
        </w:rPr>
        <w:t>if applicable</w:t>
      </w:r>
    </w:p>
    <w:p w14:paraId="4C6D62B3" w14:textId="29C3F581" w:rsidR="0019301A" w:rsidRPr="0019301A" w:rsidRDefault="0019301A" w:rsidP="0019301A">
      <w:pPr>
        <w:pStyle w:val="ListParagraph"/>
        <w:numPr>
          <w:ilvl w:val="1"/>
          <w:numId w:val="25"/>
        </w:numPr>
        <w:spacing w:before="120" w:after="120"/>
        <w:jc w:val="both"/>
        <w:rPr>
          <w:lang w:val="en-GB"/>
        </w:rPr>
      </w:pPr>
      <w:r w:rsidRPr="0019301A">
        <w:rPr>
          <w:lang w:val="en-GB"/>
        </w:rPr>
        <w:t>In case multiple processing factors are available from a FBO for a certain substance-product-combination the median value should be applied. As a precondition to this procedure, the underlying studies must be evaluated as acceptable.</w:t>
      </w:r>
    </w:p>
    <w:p w14:paraId="7438A182" w14:textId="6DAB3E57" w:rsidR="00930EFF" w:rsidRPr="00663FCF" w:rsidRDefault="00B25CAD" w:rsidP="00663FCF">
      <w:pPr>
        <w:pStyle w:val="ListParagraph"/>
        <w:numPr>
          <w:ilvl w:val="0"/>
          <w:numId w:val="25"/>
        </w:numPr>
        <w:spacing w:before="120" w:after="120"/>
        <w:jc w:val="both"/>
        <w:rPr>
          <w:lang w:val="en-GB"/>
        </w:rPr>
      </w:pPr>
      <w:r w:rsidRPr="00663FCF">
        <w:rPr>
          <w:lang w:val="en-GB"/>
        </w:rPr>
        <w:lastRenderedPageBreak/>
        <w:t>Description</w:t>
      </w:r>
      <w:r w:rsidR="00930EFF" w:rsidRPr="00663FCF">
        <w:rPr>
          <w:lang w:val="en-GB"/>
        </w:rPr>
        <w:t>/flowchart of the process</w:t>
      </w:r>
      <w:r w:rsidR="00CA5801" w:rsidRPr="00CA5801">
        <w:t xml:space="preserve"> </w:t>
      </w:r>
      <w:r w:rsidR="00CA5801" w:rsidRPr="00663FCF">
        <w:rPr>
          <w:lang w:val="en-GB"/>
        </w:rPr>
        <w:t>(including yield factor, conditions during processing such as temperatures, pH, addition of ingredients)</w:t>
      </w:r>
    </w:p>
    <w:p w14:paraId="0A4A5C6C" w14:textId="299D3AF1" w:rsidR="009A2EBF" w:rsidRDefault="009A2EBF" w:rsidP="009A2EBF">
      <w:pPr>
        <w:pStyle w:val="ListParagraph"/>
        <w:numPr>
          <w:ilvl w:val="0"/>
          <w:numId w:val="25"/>
        </w:numPr>
        <w:spacing w:before="120" w:after="120"/>
        <w:jc w:val="both"/>
        <w:rPr>
          <w:lang w:val="en-GB"/>
        </w:rPr>
      </w:pPr>
      <w:r>
        <w:rPr>
          <w:lang w:val="en-GB"/>
        </w:rPr>
        <w:t xml:space="preserve">The analytical method used and whether it is </w:t>
      </w:r>
      <w:r w:rsidRPr="009A2EBF">
        <w:rPr>
          <w:lang w:val="en-GB"/>
        </w:rPr>
        <w:t>validated</w:t>
      </w:r>
    </w:p>
    <w:p w14:paraId="0FEB0400" w14:textId="20BEB640" w:rsidR="0019301A" w:rsidRPr="00356E8D" w:rsidRDefault="0019301A" w:rsidP="00356E8D">
      <w:pPr>
        <w:pStyle w:val="ListParagraph"/>
        <w:numPr>
          <w:ilvl w:val="1"/>
          <w:numId w:val="25"/>
        </w:numPr>
        <w:rPr>
          <w:lang w:val="en-GB"/>
        </w:rPr>
      </w:pPr>
      <w:r w:rsidRPr="0019301A">
        <w:rPr>
          <w:lang w:val="en-GB"/>
        </w:rPr>
        <w:t>Is the submitted information on analytical methods, storage of samples and process details sufficient?</w:t>
      </w:r>
    </w:p>
    <w:p w14:paraId="55932B26" w14:textId="37FC1107" w:rsidR="003D409D" w:rsidRDefault="00974B3E" w:rsidP="003D409D">
      <w:pPr>
        <w:pStyle w:val="ListParagraph"/>
        <w:numPr>
          <w:ilvl w:val="0"/>
          <w:numId w:val="25"/>
        </w:numPr>
        <w:spacing w:before="120" w:after="120"/>
        <w:jc w:val="both"/>
        <w:rPr>
          <w:lang w:val="en-GB"/>
        </w:rPr>
      </w:pPr>
      <w:r>
        <w:rPr>
          <w:lang w:val="en-GB"/>
        </w:rPr>
        <w:t>A</w:t>
      </w:r>
      <w:r w:rsidR="003D409D" w:rsidRPr="003D409D">
        <w:rPr>
          <w:lang w:val="en-GB"/>
        </w:rPr>
        <w:t xml:space="preserve">nalytical results of </w:t>
      </w:r>
      <w:r w:rsidR="00B835DF">
        <w:rPr>
          <w:lang w:val="en-GB"/>
        </w:rPr>
        <w:t xml:space="preserve">a minimum of 4 </w:t>
      </w:r>
      <w:r>
        <w:rPr>
          <w:lang w:val="en-GB"/>
        </w:rPr>
        <w:t xml:space="preserve">batches of </w:t>
      </w:r>
      <w:r w:rsidR="00B835DF">
        <w:rPr>
          <w:lang w:val="en-GB"/>
        </w:rPr>
        <w:t>the</w:t>
      </w:r>
      <w:r w:rsidR="00DE3626">
        <w:rPr>
          <w:lang w:val="en-GB"/>
        </w:rPr>
        <w:t xml:space="preserve"> </w:t>
      </w:r>
      <w:r w:rsidR="00CA5801">
        <w:rPr>
          <w:lang w:val="en-GB"/>
        </w:rPr>
        <w:t>starting material</w:t>
      </w:r>
      <w:r w:rsidR="00B835DF">
        <w:rPr>
          <w:lang w:val="en-GB"/>
        </w:rPr>
        <w:t xml:space="preserve"> and the corresponding batches of </w:t>
      </w:r>
      <w:r w:rsidR="003D409D" w:rsidRPr="003D409D">
        <w:rPr>
          <w:lang w:val="en-GB"/>
        </w:rPr>
        <w:t>processed products</w:t>
      </w:r>
    </w:p>
    <w:p w14:paraId="701D7187" w14:textId="3FF7547F" w:rsidR="0019301A" w:rsidRDefault="0019301A" w:rsidP="0019301A">
      <w:pPr>
        <w:pStyle w:val="ListParagraph"/>
        <w:numPr>
          <w:ilvl w:val="1"/>
          <w:numId w:val="25"/>
        </w:numPr>
        <w:rPr>
          <w:lang w:val="en-GB"/>
        </w:rPr>
      </w:pPr>
      <w:r w:rsidRPr="0019301A">
        <w:rPr>
          <w:lang w:val="en-GB"/>
        </w:rPr>
        <w:t>Is a sufficient number of replicates obtained from the process? (</w:t>
      </w:r>
      <w:r w:rsidR="00B6529F">
        <w:rPr>
          <w:lang w:val="en-GB"/>
        </w:rPr>
        <w:t xml:space="preserve">4 </w:t>
      </w:r>
      <w:r w:rsidRPr="0019301A">
        <w:rPr>
          <w:lang w:val="en-GB"/>
        </w:rPr>
        <w:t xml:space="preserve">replicates or </w:t>
      </w:r>
      <w:r w:rsidR="00B6529F">
        <w:rPr>
          <w:lang w:val="en-GB"/>
        </w:rPr>
        <w:t>3</w:t>
      </w:r>
      <w:r w:rsidRPr="0019301A">
        <w:rPr>
          <w:lang w:val="en-GB"/>
        </w:rPr>
        <w:t xml:space="preserve"> replicates if the variation is less than 50% of the full process is satisfying)</w:t>
      </w:r>
    </w:p>
    <w:p w14:paraId="5C260658" w14:textId="39B757A1" w:rsidR="0019301A" w:rsidRPr="0019301A" w:rsidRDefault="0019301A" w:rsidP="0019301A">
      <w:pPr>
        <w:pStyle w:val="ListParagraph"/>
        <w:numPr>
          <w:ilvl w:val="1"/>
          <w:numId w:val="25"/>
        </w:numPr>
        <w:rPr>
          <w:lang w:val="en-GB"/>
        </w:rPr>
      </w:pPr>
      <w:r w:rsidRPr="0019301A">
        <w:rPr>
          <w:lang w:val="en-GB"/>
        </w:rPr>
        <w:t>Are the results in compliance with the physicochemical properties of the substance?</w:t>
      </w:r>
    </w:p>
    <w:p w14:paraId="64DEDD77" w14:textId="7AF9C5CF" w:rsidR="009A2EBF" w:rsidRPr="006441EA" w:rsidRDefault="009A2EBF" w:rsidP="00CA5801">
      <w:pPr>
        <w:pStyle w:val="ListParagraph"/>
        <w:numPr>
          <w:ilvl w:val="0"/>
          <w:numId w:val="25"/>
        </w:numPr>
        <w:spacing w:before="120" w:after="120"/>
        <w:jc w:val="both"/>
        <w:rPr>
          <w:lang w:val="en-GB"/>
        </w:rPr>
      </w:pPr>
      <w:r w:rsidRPr="006441EA">
        <w:rPr>
          <w:lang w:val="en-GB"/>
        </w:rPr>
        <w:t>Food business operators should report values as measured without deducting measurement uncertainty for reporting their results to the competent authority.</w:t>
      </w:r>
      <w:r w:rsidR="00CA5801" w:rsidRPr="00CA5801">
        <w:t xml:space="preserve"> </w:t>
      </w:r>
      <w:r w:rsidR="00CA5801" w:rsidRPr="00CA5801">
        <w:rPr>
          <w:lang w:val="en-GB"/>
        </w:rPr>
        <w:t>Residues should be measured according to the residue definition for enforcement as listed in</w:t>
      </w:r>
      <w:r w:rsidR="00444198">
        <w:rPr>
          <w:lang w:val="en-GB"/>
        </w:rPr>
        <w:t xml:space="preserve"> the Annexes to</w:t>
      </w:r>
      <w:r w:rsidR="00CA5801" w:rsidRPr="00CA5801">
        <w:rPr>
          <w:lang w:val="en-GB"/>
        </w:rPr>
        <w:t xml:space="preserve"> </w:t>
      </w:r>
      <w:r w:rsidR="00551DBA">
        <w:rPr>
          <w:lang w:val="en-GB"/>
        </w:rPr>
        <w:t xml:space="preserve">Regulation (EC) </w:t>
      </w:r>
      <w:r w:rsidR="00CA5801" w:rsidRPr="00CA5801">
        <w:rPr>
          <w:lang w:val="en-GB"/>
        </w:rPr>
        <w:t>396/2005</w:t>
      </w:r>
    </w:p>
    <w:p w14:paraId="1A121EF9" w14:textId="01A54131" w:rsidR="009A2EBF" w:rsidRPr="009A2EBF" w:rsidRDefault="009A2EBF" w:rsidP="009A2EBF">
      <w:pPr>
        <w:pStyle w:val="ListParagraph"/>
        <w:numPr>
          <w:ilvl w:val="0"/>
          <w:numId w:val="25"/>
        </w:numPr>
        <w:spacing w:before="120" w:after="120"/>
        <w:jc w:val="both"/>
        <w:rPr>
          <w:lang w:val="en-GB"/>
        </w:rPr>
      </w:pPr>
      <w:r>
        <w:rPr>
          <w:lang w:val="en-GB"/>
        </w:rPr>
        <w:t>Information about the</w:t>
      </w:r>
      <w:r w:rsidRPr="009A2EBF">
        <w:rPr>
          <w:lang w:val="en-GB"/>
        </w:rPr>
        <w:t xml:space="preserve"> storage period of the samples </w:t>
      </w:r>
    </w:p>
    <w:p w14:paraId="47A167EA" w14:textId="3BC2ACC6" w:rsidR="004577E7" w:rsidRPr="006441EA" w:rsidRDefault="004577E7" w:rsidP="004577E7">
      <w:pPr>
        <w:pStyle w:val="ListParagraph"/>
        <w:numPr>
          <w:ilvl w:val="0"/>
          <w:numId w:val="25"/>
        </w:numPr>
        <w:spacing w:before="120" w:after="120"/>
        <w:jc w:val="both"/>
        <w:rPr>
          <w:lang w:val="en-GB"/>
        </w:rPr>
      </w:pPr>
      <w:r w:rsidRPr="006441EA">
        <w:rPr>
          <w:lang w:val="en-GB"/>
        </w:rPr>
        <w:t>List of studies</w:t>
      </w:r>
      <w:r w:rsidR="00974B3E">
        <w:rPr>
          <w:lang w:val="en-GB"/>
        </w:rPr>
        <w:t xml:space="preserve"> if available</w:t>
      </w:r>
    </w:p>
    <w:p w14:paraId="7F89106B" w14:textId="77777777" w:rsidR="00307F56" w:rsidRDefault="004577E7" w:rsidP="00307F56">
      <w:pPr>
        <w:pStyle w:val="ListParagraph"/>
        <w:numPr>
          <w:ilvl w:val="0"/>
          <w:numId w:val="25"/>
        </w:numPr>
        <w:spacing w:before="120" w:after="120"/>
        <w:jc w:val="both"/>
        <w:rPr>
          <w:lang w:val="en-GB"/>
        </w:rPr>
      </w:pPr>
      <w:r w:rsidRPr="006441EA">
        <w:rPr>
          <w:lang w:val="en-GB"/>
        </w:rPr>
        <w:t>Other supporting data</w:t>
      </w:r>
    </w:p>
    <w:p w14:paraId="5E1C6016" w14:textId="3A2EEDA8" w:rsidR="00307F56" w:rsidRDefault="00307F56" w:rsidP="00307F56">
      <w:pPr>
        <w:pStyle w:val="ListParagraph"/>
        <w:numPr>
          <w:ilvl w:val="0"/>
          <w:numId w:val="25"/>
        </w:numPr>
        <w:spacing w:before="120" w:after="120"/>
        <w:jc w:val="both"/>
        <w:rPr>
          <w:lang w:val="en-GB"/>
        </w:rPr>
      </w:pPr>
      <w:r w:rsidRPr="00307F56">
        <w:rPr>
          <w:lang w:val="en-GB"/>
        </w:rPr>
        <w:t xml:space="preserve"> </w:t>
      </w:r>
      <w:r>
        <w:rPr>
          <w:lang w:val="en-GB"/>
        </w:rPr>
        <w:t xml:space="preserve">In case </w:t>
      </w:r>
      <w:r w:rsidR="00444198">
        <w:rPr>
          <w:lang w:val="en-GB"/>
        </w:rPr>
        <w:t>processing factors</w:t>
      </w:r>
      <w:r w:rsidR="008C1285">
        <w:rPr>
          <w:lang w:val="en-GB"/>
        </w:rPr>
        <w:t xml:space="preserve"> </w:t>
      </w:r>
      <w:r>
        <w:rPr>
          <w:lang w:val="en-GB"/>
        </w:rPr>
        <w:t>from EFSA or national databases can’t be used the r</w:t>
      </w:r>
      <w:r w:rsidRPr="00663FCF">
        <w:rPr>
          <w:lang w:val="en-GB"/>
        </w:rPr>
        <w:t>ationale</w:t>
      </w:r>
      <w:r w:rsidR="008C1285">
        <w:rPr>
          <w:lang w:val="en-GB"/>
        </w:rPr>
        <w:t xml:space="preserve"> </w:t>
      </w:r>
      <w:r w:rsidRPr="00663FCF">
        <w:rPr>
          <w:lang w:val="en-GB"/>
        </w:rPr>
        <w:t xml:space="preserve">why the processed product complies with the MRL for the corresponding </w:t>
      </w:r>
      <w:r w:rsidRPr="00EE2DB0">
        <w:rPr>
          <w:lang w:val="en-GB"/>
        </w:rPr>
        <w:t xml:space="preserve">relevant product covered by Annex I </w:t>
      </w:r>
      <w:r>
        <w:rPr>
          <w:lang w:val="en-GB"/>
        </w:rPr>
        <w:t>should be given</w:t>
      </w:r>
    </w:p>
    <w:p w14:paraId="27DFDC47" w14:textId="03D2387B" w:rsidR="00DE3626" w:rsidRDefault="00792250" w:rsidP="00307F56">
      <w:pPr>
        <w:spacing w:before="120" w:after="120"/>
        <w:jc w:val="both"/>
        <w:rPr>
          <w:lang w:val="en-GB"/>
        </w:rPr>
      </w:pPr>
      <w:r>
        <w:rPr>
          <w:lang w:val="en-GB"/>
        </w:rPr>
        <w:t>In addition, d</w:t>
      </w:r>
      <w:r w:rsidR="00307F56" w:rsidRPr="00307F56">
        <w:rPr>
          <w:lang w:val="en-GB"/>
        </w:rPr>
        <w:t xml:space="preserve">epending on the active substance/commodity combination, such a rationale may </w:t>
      </w:r>
      <w:r>
        <w:rPr>
          <w:lang w:val="en-GB"/>
        </w:rPr>
        <w:t xml:space="preserve">also </w:t>
      </w:r>
      <w:r w:rsidR="00307F56" w:rsidRPr="00307F56">
        <w:rPr>
          <w:lang w:val="en-GB"/>
        </w:rPr>
        <w:t>include</w:t>
      </w:r>
      <w:r w:rsidR="00DE3626">
        <w:rPr>
          <w:lang w:val="en-GB"/>
        </w:rPr>
        <w:t>:</w:t>
      </w:r>
    </w:p>
    <w:p w14:paraId="7D5FABE7" w14:textId="5E28BDC6" w:rsidR="00DE3626" w:rsidRPr="000025D7" w:rsidRDefault="00307F56" w:rsidP="000025D7">
      <w:pPr>
        <w:pStyle w:val="ListParagraph"/>
        <w:numPr>
          <w:ilvl w:val="0"/>
          <w:numId w:val="40"/>
        </w:numPr>
        <w:spacing w:before="120" w:after="120"/>
        <w:jc w:val="both"/>
        <w:rPr>
          <w:lang w:val="en-GB"/>
        </w:rPr>
      </w:pPr>
      <w:r w:rsidRPr="000025D7">
        <w:rPr>
          <w:lang w:val="en-GB"/>
        </w:rPr>
        <w:t>a description/flowchart of the process to show it complies with the process mentioned in the EFSA compendium and thus the available processing factors can be used or</w:t>
      </w:r>
    </w:p>
    <w:p w14:paraId="37250432" w14:textId="20D67CB9" w:rsidR="00DE3626" w:rsidRPr="000025D7" w:rsidRDefault="00307F56" w:rsidP="000025D7">
      <w:pPr>
        <w:pStyle w:val="ListParagraph"/>
        <w:numPr>
          <w:ilvl w:val="0"/>
          <w:numId w:val="40"/>
        </w:numPr>
        <w:spacing w:before="120" w:after="120"/>
        <w:jc w:val="both"/>
        <w:rPr>
          <w:lang w:val="en-GB"/>
        </w:rPr>
      </w:pPr>
      <w:r w:rsidRPr="000025D7">
        <w:rPr>
          <w:lang w:val="en-GB"/>
        </w:rPr>
        <w:t xml:space="preserve">it could include analytical results of the starting material and the corresponding processed commodity or </w:t>
      </w:r>
    </w:p>
    <w:p w14:paraId="07C03488" w14:textId="418BE405" w:rsidR="004577E7" w:rsidRPr="000025D7" w:rsidRDefault="00307F56" w:rsidP="000025D7">
      <w:pPr>
        <w:pStyle w:val="ListParagraph"/>
        <w:numPr>
          <w:ilvl w:val="0"/>
          <w:numId w:val="40"/>
        </w:numPr>
        <w:spacing w:before="120" w:after="120"/>
        <w:jc w:val="both"/>
        <w:rPr>
          <w:lang w:val="en-GB"/>
        </w:rPr>
      </w:pPr>
      <w:r w:rsidRPr="000025D7">
        <w:rPr>
          <w:lang w:val="en-GB"/>
        </w:rPr>
        <w:t xml:space="preserve">it could include a processing study according to </w:t>
      </w:r>
      <w:hyperlink r:id="rId20" w:history="1">
        <w:r w:rsidRPr="000025D7">
          <w:rPr>
            <w:rStyle w:val="Hyperlink"/>
            <w:lang w:val="en-GB"/>
          </w:rPr>
          <w:t>OECD guidelines</w:t>
        </w:r>
      </w:hyperlink>
      <w:r w:rsidRPr="000025D7">
        <w:rPr>
          <w:lang w:val="en-GB"/>
        </w:rPr>
        <w:t xml:space="preserve"> and preferably conducted by the manufacturer of the pesticide in question.</w:t>
      </w:r>
    </w:p>
    <w:p w14:paraId="376AAB0A" w14:textId="1685EFA7" w:rsidR="00974B3E" w:rsidRPr="0059436C" w:rsidRDefault="00974B3E" w:rsidP="0059436C">
      <w:pPr>
        <w:spacing w:before="120" w:after="120"/>
        <w:jc w:val="both"/>
        <w:rPr>
          <w:b/>
          <w:lang w:val="en-GB"/>
        </w:rPr>
      </w:pPr>
    </w:p>
    <w:p w14:paraId="05C19B6E" w14:textId="28BB5DCA" w:rsidR="00BC7F70" w:rsidRPr="00E47D36" w:rsidRDefault="00BC7F70" w:rsidP="00E47D36">
      <w:pPr>
        <w:spacing w:before="120" w:after="120"/>
        <w:jc w:val="both"/>
        <w:rPr>
          <w:b/>
          <w:lang w:val="en-GB"/>
        </w:rPr>
      </w:pPr>
      <w:r w:rsidRPr="00E47D36">
        <w:rPr>
          <w:b/>
          <w:lang w:val="en-GB"/>
        </w:rPr>
        <w:t>Decision by the competent authority</w:t>
      </w:r>
    </w:p>
    <w:p w14:paraId="53549FB9" w14:textId="19677B39" w:rsidR="0044225D" w:rsidRDefault="000B46D4" w:rsidP="00E47D36">
      <w:pPr>
        <w:spacing w:before="120" w:after="120"/>
        <w:jc w:val="both"/>
        <w:rPr>
          <w:lang w:val="en-GB"/>
        </w:rPr>
      </w:pPr>
      <w:r w:rsidRPr="00CB3F05">
        <w:rPr>
          <w:lang w:val="en-GB"/>
        </w:rPr>
        <w:t xml:space="preserve">If </w:t>
      </w:r>
      <w:r w:rsidR="00BD250E">
        <w:rPr>
          <w:lang w:val="en-GB"/>
        </w:rPr>
        <w:t xml:space="preserve">there is no information available in the </w:t>
      </w:r>
      <w:r w:rsidR="00015564">
        <w:rPr>
          <w:lang w:val="en-GB"/>
        </w:rPr>
        <w:t>EFSA</w:t>
      </w:r>
      <w:r w:rsidR="000025D7">
        <w:rPr>
          <w:lang w:val="en-GB"/>
        </w:rPr>
        <w:t xml:space="preserve"> (EU)</w:t>
      </w:r>
      <w:r w:rsidR="00015564">
        <w:rPr>
          <w:lang w:val="en-GB"/>
        </w:rPr>
        <w:t xml:space="preserve"> </w:t>
      </w:r>
      <w:r w:rsidR="00BD250E">
        <w:rPr>
          <w:lang w:val="en-GB"/>
        </w:rPr>
        <w:t>or national databases</w:t>
      </w:r>
      <w:r w:rsidR="003D522E">
        <w:rPr>
          <w:lang w:val="en-GB"/>
        </w:rPr>
        <w:t xml:space="preserve"> or in other</w:t>
      </w:r>
      <w:r w:rsidR="009A2EBF">
        <w:rPr>
          <w:lang w:val="en-GB"/>
        </w:rPr>
        <w:t xml:space="preserve"> rel</w:t>
      </w:r>
      <w:r w:rsidR="004D2297">
        <w:rPr>
          <w:lang w:val="en-GB"/>
        </w:rPr>
        <w:t>iable</w:t>
      </w:r>
      <w:r w:rsidR="003D522E">
        <w:rPr>
          <w:lang w:val="en-GB"/>
        </w:rPr>
        <w:t xml:space="preserve"> sources</w:t>
      </w:r>
      <w:r w:rsidR="00BD250E">
        <w:rPr>
          <w:lang w:val="en-GB"/>
        </w:rPr>
        <w:t xml:space="preserve"> </w:t>
      </w:r>
      <w:r w:rsidR="004D2297">
        <w:rPr>
          <w:lang w:val="en-GB"/>
        </w:rPr>
        <w:t xml:space="preserve">of processing information </w:t>
      </w:r>
      <w:r w:rsidR="00BD250E">
        <w:rPr>
          <w:lang w:val="en-GB"/>
        </w:rPr>
        <w:t xml:space="preserve">and if </w:t>
      </w:r>
      <w:r w:rsidRPr="00CB3F05">
        <w:rPr>
          <w:lang w:val="en-GB"/>
        </w:rPr>
        <w:t xml:space="preserve">the </w:t>
      </w:r>
      <w:r w:rsidR="009C64AA">
        <w:rPr>
          <w:lang w:val="en-GB"/>
        </w:rPr>
        <w:t>FBO</w:t>
      </w:r>
      <w:r w:rsidRPr="00CB3F05">
        <w:rPr>
          <w:lang w:val="en-GB"/>
        </w:rPr>
        <w:t xml:space="preserve"> does not provide the necessary processing factor or if the competent authority deems that factor inappropriate in view of the justification given</w:t>
      </w:r>
      <w:r w:rsidRPr="00D93DF1">
        <w:rPr>
          <w:lang w:val="en-GB"/>
        </w:rPr>
        <w:t xml:space="preserve"> the competent authority </w:t>
      </w:r>
      <w:r>
        <w:rPr>
          <w:lang w:val="en-GB"/>
        </w:rPr>
        <w:t>can</w:t>
      </w:r>
      <w:r w:rsidRPr="00D93DF1">
        <w:rPr>
          <w:lang w:val="en-GB"/>
        </w:rPr>
        <w:t xml:space="preserve"> </w:t>
      </w:r>
      <w:r w:rsidR="00BD250E">
        <w:rPr>
          <w:lang w:val="en-GB"/>
        </w:rPr>
        <w:t xml:space="preserve">itself </w:t>
      </w:r>
      <w:r w:rsidR="004D2297">
        <w:rPr>
          <w:lang w:val="en-GB"/>
        </w:rPr>
        <w:t>estimate</w:t>
      </w:r>
      <w:r w:rsidR="004D2297" w:rsidRPr="00D93DF1">
        <w:rPr>
          <w:lang w:val="en-GB"/>
        </w:rPr>
        <w:t xml:space="preserve"> </w:t>
      </w:r>
      <w:r w:rsidRPr="00D93DF1">
        <w:rPr>
          <w:lang w:val="en-GB"/>
        </w:rPr>
        <w:t xml:space="preserve">a </w:t>
      </w:r>
      <w:r>
        <w:rPr>
          <w:lang w:val="en-GB"/>
        </w:rPr>
        <w:t xml:space="preserve">substance specific </w:t>
      </w:r>
      <w:r w:rsidRPr="00D93DF1">
        <w:rPr>
          <w:lang w:val="en-GB"/>
        </w:rPr>
        <w:t>processing fac</w:t>
      </w:r>
      <w:r>
        <w:rPr>
          <w:lang w:val="en-GB"/>
        </w:rPr>
        <w:t>tor</w:t>
      </w:r>
      <w:r w:rsidR="00BD250E">
        <w:rPr>
          <w:lang w:val="en-GB"/>
        </w:rPr>
        <w:t xml:space="preserve">, </w:t>
      </w:r>
      <w:r w:rsidR="00BD250E" w:rsidRPr="005A5A26">
        <w:rPr>
          <w:lang w:val="en-GB"/>
        </w:rPr>
        <w:t xml:space="preserve">based on the available information and with the objective of maximum protection of human health. </w:t>
      </w:r>
      <w:r w:rsidR="00BD250E">
        <w:rPr>
          <w:lang w:val="en-GB"/>
        </w:rPr>
        <w:t xml:space="preserve">This includes a processing factor of one, </w:t>
      </w:r>
      <w:r w:rsidR="00BD250E">
        <w:rPr>
          <w:lang w:val="en-GB"/>
        </w:rPr>
        <w:lastRenderedPageBreak/>
        <w:t xml:space="preserve">meaning that the MRL of the </w:t>
      </w:r>
      <w:r w:rsidR="0093364F" w:rsidRPr="0093364F">
        <w:rPr>
          <w:lang w:val="en-GB"/>
        </w:rPr>
        <w:t xml:space="preserve">relevant product covered by </w:t>
      </w:r>
      <w:r w:rsidR="00BD250E">
        <w:rPr>
          <w:lang w:val="en-GB"/>
        </w:rPr>
        <w:t xml:space="preserve">Annex </w:t>
      </w:r>
      <w:r w:rsidR="009A2EBF">
        <w:rPr>
          <w:lang w:val="en-GB"/>
        </w:rPr>
        <w:t>I of Regulation (EC) No 396/2005</w:t>
      </w:r>
      <w:r w:rsidR="00BD250E">
        <w:rPr>
          <w:lang w:val="en-GB"/>
        </w:rPr>
        <w:t xml:space="preserve"> is applicable. </w:t>
      </w:r>
    </w:p>
    <w:p w14:paraId="4A3ED068" w14:textId="22E4C307" w:rsidR="006A09DB" w:rsidRDefault="00CC75FD" w:rsidP="00C9399A">
      <w:pPr>
        <w:pStyle w:val="ListParagraph"/>
        <w:numPr>
          <w:ilvl w:val="0"/>
          <w:numId w:val="6"/>
        </w:numPr>
        <w:spacing w:after="100" w:afterAutospacing="1"/>
        <w:rPr>
          <w:rFonts w:ascii="Times New Roman" w:eastAsia="Times New Roman" w:hAnsi="Times New Roman" w:cs="Times New Roman"/>
          <w:b/>
          <w:caps/>
          <w:sz w:val="24"/>
          <w:szCs w:val="20"/>
          <w:lang w:val="en-IE" w:eastAsia="en-GB"/>
        </w:rPr>
      </w:pPr>
      <w:r>
        <w:rPr>
          <w:rFonts w:ascii="Times New Roman" w:eastAsia="Times New Roman" w:hAnsi="Times New Roman" w:cs="Times New Roman"/>
          <w:b/>
          <w:caps/>
          <w:sz w:val="24"/>
          <w:szCs w:val="20"/>
          <w:lang w:val="en-IE" w:eastAsia="en-GB"/>
        </w:rPr>
        <w:t xml:space="preserve">Calculation </w:t>
      </w:r>
      <w:r w:rsidR="00EF2F85" w:rsidRPr="00C9399A">
        <w:rPr>
          <w:rFonts w:ascii="Times New Roman" w:eastAsia="Times New Roman" w:hAnsi="Times New Roman" w:cs="Times New Roman"/>
          <w:b/>
          <w:caps/>
          <w:sz w:val="24"/>
          <w:szCs w:val="20"/>
          <w:lang w:val="en-IE" w:eastAsia="en-GB"/>
        </w:rPr>
        <w:t>E</w:t>
      </w:r>
      <w:r w:rsidR="00EF2F85" w:rsidRPr="00C9399A" w:rsidDel="00531BA4">
        <w:rPr>
          <w:rFonts w:ascii="Times New Roman" w:eastAsia="Times New Roman" w:hAnsi="Times New Roman" w:cs="Times New Roman"/>
          <w:b/>
          <w:caps/>
          <w:sz w:val="24"/>
          <w:szCs w:val="20"/>
          <w:lang w:val="en-IE" w:eastAsia="en-GB"/>
        </w:rPr>
        <w:t>xamples</w:t>
      </w:r>
      <w:r w:rsidR="007D6DD6" w:rsidRPr="00C9399A" w:rsidDel="00531BA4">
        <w:rPr>
          <w:rFonts w:ascii="Times New Roman" w:eastAsia="Times New Roman" w:hAnsi="Times New Roman" w:cs="Times New Roman"/>
          <w:b/>
          <w:caps/>
          <w:sz w:val="24"/>
          <w:szCs w:val="20"/>
          <w:lang w:val="en-IE" w:eastAsia="en-GB"/>
        </w:rPr>
        <w:t xml:space="preserve"> </w:t>
      </w:r>
    </w:p>
    <w:p w14:paraId="3D1A9A51" w14:textId="3DB02908" w:rsidR="00CC4AA4" w:rsidRDefault="00CC4AA4" w:rsidP="003C7E4E">
      <w:pPr>
        <w:pStyle w:val="ListParagraph"/>
        <w:spacing w:after="100" w:afterAutospacing="1"/>
        <w:ind w:left="785"/>
        <w:rPr>
          <w:rFonts w:ascii="Times New Roman" w:eastAsia="Times New Roman" w:hAnsi="Times New Roman" w:cs="Times New Roman"/>
          <w:b/>
          <w:caps/>
          <w:sz w:val="24"/>
          <w:szCs w:val="20"/>
          <w:lang w:val="en-IE" w:eastAsia="en-GB"/>
        </w:rPr>
      </w:pPr>
      <w:r>
        <w:rPr>
          <w:rFonts w:ascii="Times New Roman" w:eastAsia="Times New Roman" w:hAnsi="Times New Roman" w:cs="Times New Roman"/>
          <w:b/>
          <w:caps/>
          <w:sz w:val="24"/>
          <w:szCs w:val="20"/>
          <w:lang w:val="en-IE" w:eastAsia="en-GB"/>
        </w:rPr>
        <w:t>7.1</w:t>
      </w:r>
      <w:r>
        <w:rPr>
          <w:rFonts w:ascii="Times New Roman" w:eastAsia="Times New Roman" w:hAnsi="Times New Roman" w:cs="Times New Roman"/>
          <w:b/>
          <w:caps/>
          <w:sz w:val="24"/>
          <w:szCs w:val="20"/>
          <w:lang w:val="en-IE" w:eastAsia="en-GB"/>
        </w:rPr>
        <w:tab/>
        <w:t>PrOCESSING FACTORS</w:t>
      </w:r>
    </w:p>
    <w:p w14:paraId="40E5BBB0" w14:textId="66A315C4" w:rsidR="006A09DB" w:rsidRPr="00E47D36" w:rsidDel="00531BA4" w:rsidRDefault="006A09DB" w:rsidP="00E47D36">
      <w:pPr>
        <w:spacing w:before="120" w:after="120"/>
        <w:jc w:val="both"/>
        <w:rPr>
          <w:lang w:val="en-GB"/>
        </w:rPr>
      </w:pPr>
      <w:r>
        <w:rPr>
          <w:lang w:val="en-GB"/>
        </w:rPr>
        <w:t>The following chapter provides some calculation examples for the use of substance specific and generic processing factors in Member States’ enforcement activities.</w:t>
      </w:r>
      <w:r w:rsidRPr="006A09DB">
        <w:rPr>
          <w:lang w:val="en-GB"/>
        </w:rPr>
        <w:t xml:space="preserve"> </w:t>
      </w:r>
      <w:r>
        <w:rPr>
          <w:lang w:val="en-GB"/>
        </w:rPr>
        <w:t>For the purpose of the examples</w:t>
      </w:r>
      <w:r w:rsidR="00EC75E3">
        <w:rPr>
          <w:lang w:val="en-GB"/>
        </w:rPr>
        <w:t>,</w:t>
      </w:r>
      <w:r>
        <w:rPr>
          <w:lang w:val="en-GB"/>
        </w:rPr>
        <w:t xml:space="preserve"> </w:t>
      </w:r>
      <w:r w:rsidR="00EC75E3">
        <w:rPr>
          <w:lang w:val="en-GB"/>
        </w:rPr>
        <w:t>as these illustrate the</w:t>
      </w:r>
      <w:r w:rsidR="00EC75E3" w:rsidRPr="00EC75E3">
        <w:t xml:space="preserve"> </w:t>
      </w:r>
      <w:r w:rsidR="00EC75E3">
        <w:rPr>
          <w:lang w:val="en-GB"/>
        </w:rPr>
        <w:t>f</w:t>
      </w:r>
      <w:r w:rsidR="00EC75E3" w:rsidRPr="00EC75E3">
        <w:rPr>
          <w:lang w:val="en-GB"/>
        </w:rPr>
        <w:t xml:space="preserve">inal decision on </w:t>
      </w:r>
      <w:r w:rsidR="00FF2483">
        <w:rPr>
          <w:lang w:val="en-GB"/>
        </w:rPr>
        <w:t xml:space="preserve">a </w:t>
      </w:r>
      <w:r w:rsidR="00EC75E3" w:rsidRPr="00EC75E3">
        <w:rPr>
          <w:lang w:val="en-GB"/>
        </w:rPr>
        <w:t>compliance</w:t>
      </w:r>
      <w:r w:rsidR="00FF2483">
        <w:rPr>
          <w:lang w:val="en-GB"/>
        </w:rPr>
        <w:t xml:space="preserve"> or non</w:t>
      </w:r>
      <w:r w:rsidR="005F77B4">
        <w:rPr>
          <w:lang w:val="en-GB"/>
        </w:rPr>
        <w:t>-</w:t>
      </w:r>
      <w:r w:rsidR="00FF2483">
        <w:rPr>
          <w:lang w:val="en-GB"/>
        </w:rPr>
        <w:t>compliance</w:t>
      </w:r>
      <w:r w:rsidR="00EC75E3">
        <w:rPr>
          <w:lang w:val="en-GB"/>
        </w:rPr>
        <w:t>,</w:t>
      </w:r>
      <w:r w:rsidR="00EC75E3" w:rsidRPr="00EC75E3">
        <w:rPr>
          <w:lang w:val="en-GB"/>
        </w:rPr>
        <w:t xml:space="preserve"> </w:t>
      </w:r>
      <w:r>
        <w:rPr>
          <w:lang w:val="en-GB"/>
        </w:rPr>
        <w:t>a default</w:t>
      </w:r>
      <w:r w:rsidRPr="00483D9D">
        <w:rPr>
          <w:lang w:val="en-GB"/>
        </w:rPr>
        <w:t xml:space="preserve"> </w:t>
      </w:r>
      <w:r w:rsidR="00256764">
        <w:rPr>
          <w:lang w:val="en-GB"/>
        </w:rPr>
        <w:t>MU</w:t>
      </w:r>
      <w:r w:rsidR="00CC75FD">
        <w:rPr>
          <w:lang w:val="en-GB"/>
        </w:rPr>
        <w:t xml:space="preserve"> of 50% has been used</w:t>
      </w:r>
      <w:r>
        <w:rPr>
          <w:lang w:val="en-GB"/>
        </w:rPr>
        <w:t>.</w:t>
      </w:r>
    </w:p>
    <w:p w14:paraId="42B9655B" w14:textId="1C747551" w:rsidR="00256764" w:rsidRDefault="00256764" w:rsidP="00256764">
      <w:pPr>
        <w:spacing w:before="120" w:after="120"/>
        <w:jc w:val="both"/>
        <w:rPr>
          <w:rFonts w:eastAsiaTheme="minorEastAsia"/>
          <w:lang w:val="en-IE"/>
        </w:rPr>
      </w:pPr>
      <w:r w:rsidRPr="00AF529D">
        <w:rPr>
          <w:rFonts w:eastAsiaTheme="minorEastAsia"/>
          <w:noProof/>
          <w:sz w:val="18"/>
          <w:szCs w:val="18"/>
        </w:rPr>
        <mc:AlternateContent>
          <mc:Choice Requires="wps">
            <w:drawing>
              <wp:anchor distT="45720" distB="45720" distL="114300" distR="114300" simplePos="0" relativeHeight="251659264" behindDoc="0" locked="0" layoutInCell="1" allowOverlap="1" wp14:anchorId="0917475F" wp14:editId="6BFDFF4F">
                <wp:simplePos x="0" y="0"/>
                <wp:positionH relativeFrom="column">
                  <wp:posOffset>-181610</wp:posOffset>
                </wp:positionH>
                <wp:positionV relativeFrom="paragraph">
                  <wp:posOffset>625475</wp:posOffset>
                </wp:positionV>
                <wp:extent cx="6797040" cy="568960"/>
                <wp:effectExtent l="0" t="0" r="2286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568960"/>
                        </a:xfrm>
                        <a:prstGeom prst="rect">
                          <a:avLst/>
                        </a:prstGeom>
                        <a:solidFill>
                          <a:srgbClr val="FFFFFF"/>
                        </a:solidFill>
                        <a:ln w="9525">
                          <a:solidFill>
                            <a:srgbClr val="000000"/>
                          </a:solidFill>
                          <a:miter lim="800000"/>
                          <a:headEnd/>
                          <a:tailEnd/>
                        </a:ln>
                      </wps:spPr>
                      <wps:txbx>
                        <w:txbxContent>
                          <w:p w14:paraId="6B9F8B11" w14:textId="561B40E6" w:rsidR="005F77B4" w:rsidRPr="006C6ED1" w:rsidRDefault="005F77B4" w:rsidP="00AF529D">
                            <w:pPr>
                              <w:rPr>
                                <w:rFonts w:eastAsia="Times New Roman"/>
                                <w:b/>
                                <w:i/>
                                <w:sz w:val="18"/>
                                <w:szCs w:val="18"/>
                                <w:lang w:val="en-IE" w:eastAsia="en-GB"/>
                              </w:rPr>
                            </w:pPr>
                            <m:oMathPara>
                              <m:oMath>
                                <m:r>
                                  <m:rPr>
                                    <m:sty m:val="p"/>
                                  </m:rPr>
                                  <w:rPr>
                                    <w:rFonts w:ascii="Cambria Math" w:eastAsiaTheme="minorEastAsia" w:hAnsi="Cambria Math"/>
                                    <w:sz w:val="18"/>
                                    <w:szCs w:val="18"/>
                                    <w:lang w:val="en-IE"/>
                                  </w:rPr>
                                  <w:br/>
                                </m:r>
                              </m:oMath>
                              <m:oMath>
                                <m:r>
                                  <m:rPr>
                                    <m:sty m:val="bi"/>
                                  </m:rPr>
                                  <w:rPr>
                                    <w:rFonts w:ascii="Cambria Math" w:eastAsiaTheme="minorEastAsia" w:hAnsi="Cambria Math"/>
                                    <w:sz w:val="18"/>
                                    <w:szCs w:val="18"/>
                                    <w:lang w:val="en-IE"/>
                                  </w:rPr>
                                  <m:t xml:space="preserve">Derived MRL </m:t>
                                </m:r>
                                <m:r>
                                  <w:rPr>
                                    <w:rFonts w:ascii="Cambria Math" w:eastAsiaTheme="minorEastAsia" w:hAnsi="Cambria Math"/>
                                    <w:sz w:val="18"/>
                                    <w:szCs w:val="18"/>
                                    <w:lang w:val="en-IE"/>
                                  </w:rPr>
                                  <m:t>for processed product (mg/kg)=Pf* MRL of the relevant unprocessed product covered by Annex I (mg/kg)</m:t>
                                </m:r>
                                <m:r>
                                  <m:rPr>
                                    <m:sty m:val="p"/>
                                  </m:rPr>
                                  <w:rPr>
                                    <w:rStyle w:val="CommentReference"/>
                                    <w:rFonts w:ascii="Cambria Math" w:hAnsi="Cambria Math"/>
                                  </w:rPr>
                                  <w:br/>
                                </m:r>
                              </m:oMath>
                            </m:oMathPara>
                          </w:p>
                          <w:p w14:paraId="15A0212C" w14:textId="1F48A77B" w:rsidR="005F77B4" w:rsidRDefault="005F77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7475F" id="_x0000_s1028" type="#_x0000_t202" style="position:absolute;left:0;text-align:left;margin-left:-14.3pt;margin-top:49.25pt;width:535.2pt;height:4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">
                <v:textbox>
                  <w:txbxContent>
                    <w:p w14:paraId="6B9F8B11" w14:textId="561B40E6" w:rsidR="005F77B4" w:rsidRPr="006C6ED1" w:rsidRDefault="005F77B4" w:rsidP="00AF529D">
                      <w:pPr>
                        <w:rPr>
                          <w:rFonts w:eastAsia="Times New Roman"/>
                          <w:b/>
                          <w:i/>
                          <w:sz w:val="18"/>
                          <w:szCs w:val="18"/>
                          <w:lang w:val="en-IE" w:eastAsia="en-GB"/>
                        </w:rPr>
                      </w:pPr>
                      <m:oMathPara>
                        <m:oMath>
                          <m:r>
                            <m:rPr>
                              <m:sty m:val="p"/>
                            </m:rPr>
                            <w:rPr>
                              <w:rFonts w:ascii="Cambria Math" w:eastAsiaTheme="minorEastAsia" w:hAnsi="Cambria Math"/>
                              <w:sz w:val="18"/>
                              <w:szCs w:val="18"/>
                              <w:lang w:val="en-IE"/>
                            </w:rPr>
                            <w:br/>
                          </m:r>
                        </m:oMath>
                        <m:oMath>
                          <m:r>
                            <m:rPr>
                              <m:sty m:val="bi"/>
                            </m:rPr>
                            <w:rPr>
                              <w:rFonts w:ascii="Cambria Math" w:eastAsiaTheme="minorEastAsia" w:hAnsi="Cambria Math"/>
                              <w:sz w:val="18"/>
                              <w:szCs w:val="18"/>
                              <w:lang w:val="en-IE"/>
                            </w:rPr>
                            <m:t xml:space="preserve">Derived MRL </m:t>
                          </m:r>
                          <m:r>
                            <w:rPr>
                              <w:rFonts w:ascii="Cambria Math" w:eastAsiaTheme="minorEastAsia" w:hAnsi="Cambria Math"/>
                              <w:sz w:val="18"/>
                              <w:szCs w:val="18"/>
                              <w:lang w:val="en-IE"/>
                            </w:rPr>
                            <m:t>for processed product (mg/kg)=Pf* MRL of the relevant unprocessed product covered by Annex I (mg/kg)</m:t>
                          </m:r>
                          <m:r>
                            <w:rPr>
                              <w:rStyle w:val="CommentReference"/>
                              <w:rFonts w:ascii="Cambria Math" w:hAnsi="Cambria Math"/>
                            </w:rPr>
                            <w:br/>
                          </m:r>
                        </m:oMath>
                      </m:oMathPara>
                    </w:p>
                    <w:p w14:paraId="15A0212C" w14:textId="1F48A77B" w:rsidR="005F77B4" w:rsidRDefault="005F77B4"/>
                  </w:txbxContent>
                </v:textbox>
                <w10:wrap type="square"/>
              </v:shape>
            </w:pict>
          </mc:Fallback>
        </mc:AlternateContent>
      </w:r>
      <w:r w:rsidR="00CC4AA4">
        <w:rPr>
          <w:rFonts w:eastAsiaTheme="minorEastAsia"/>
          <w:lang w:val="en-IE"/>
        </w:rPr>
        <w:t>As already set out in Chapter 5, i</w:t>
      </w:r>
      <w:r w:rsidR="00EF2F85" w:rsidRPr="536FF9DF">
        <w:rPr>
          <w:rFonts w:eastAsiaTheme="minorEastAsia"/>
          <w:lang w:val="en-IE"/>
        </w:rPr>
        <w:t xml:space="preserve">n order to assess compliance with an MRL, </w:t>
      </w:r>
      <w:r w:rsidR="005C2432" w:rsidRPr="005C2432">
        <w:rPr>
          <w:rFonts w:eastAsiaTheme="minorEastAsia"/>
          <w:lang w:val="en-IE"/>
        </w:rPr>
        <w:t>the</w:t>
      </w:r>
      <w:r w:rsidR="00BF181D">
        <w:rPr>
          <w:rFonts w:eastAsiaTheme="minorEastAsia"/>
          <w:lang w:val="en-IE"/>
        </w:rPr>
        <w:t xml:space="preserve"> derived MRL for </w:t>
      </w:r>
      <w:r w:rsidR="005C2432" w:rsidRPr="005C2432">
        <w:rPr>
          <w:rFonts w:eastAsiaTheme="minorEastAsia"/>
          <w:lang w:val="en-IE"/>
        </w:rPr>
        <w:t xml:space="preserve">the processed </w:t>
      </w:r>
      <w:r w:rsidR="005C2432">
        <w:rPr>
          <w:rFonts w:eastAsiaTheme="minorEastAsia"/>
          <w:lang w:val="en-IE"/>
        </w:rPr>
        <w:t>product</w:t>
      </w:r>
      <w:r w:rsidR="005C2432" w:rsidRPr="005C2432">
        <w:rPr>
          <w:rFonts w:eastAsiaTheme="minorEastAsia"/>
          <w:lang w:val="en-IE"/>
        </w:rPr>
        <w:t xml:space="preserve"> is obtained by multiplying the processing factor (Pf) </w:t>
      </w:r>
      <w:r w:rsidR="00D7799E">
        <w:rPr>
          <w:rFonts w:eastAsiaTheme="minorEastAsia"/>
          <w:lang w:val="en-IE"/>
        </w:rPr>
        <w:t>with the</w:t>
      </w:r>
      <w:r w:rsidR="00DE3626">
        <w:rPr>
          <w:rFonts w:eastAsiaTheme="minorEastAsia"/>
          <w:lang w:val="en-IE"/>
        </w:rPr>
        <w:t xml:space="preserve"> </w:t>
      </w:r>
      <w:r w:rsidR="00BF181D">
        <w:rPr>
          <w:rFonts w:eastAsiaTheme="minorEastAsia"/>
          <w:lang w:val="en-IE"/>
        </w:rPr>
        <w:t>MRL</w:t>
      </w:r>
      <w:r w:rsidR="00D7799E">
        <w:rPr>
          <w:rFonts w:eastAsiaTheme="minorEastAsia"/>
          <w:lang w:val="en-IE"/>
        </w:rPr>
        <w:t xml:space="preserve"> </w:t>
      </w:r>
      <w:r w:rsidR="0093364F">
        <w:rPr>
          <w:rFonts w:eastAsiaTheme="minorEastAsia"/>
          <w:lang w:val="en-IE"/>
        </w:rPr>
        <w:t xml:space="preserve">of </w:t>
      </w:r>
      <w:r w:rsidR="00D7799E">
        <w:rPr>
          <w:rFonts w:eastAsiaTheme="minorEastAsia"/>
          <w:lang w:val="en-IE"/>
        </w:rPr>
        <w:t xml:space="preserve">the </w:t>
      </w:r>
      <w:r w:rsidR="0093364F" w:rsidRPr="0093364F">
        <w:rPr>
          <w:rFonts w:eastAsiaTheme="minorEastAsia"/>
          <w:lang w:val="en-IE"/>
        </w:rPr>
        <w:t>rele</w:t>
      </w:r>
      <w:r w:rsidR="00DE3626">
        <w:rPr>
          <w:rFonts w:eastAsiaTheme="minorEastAsia"/>
          <w:lang w:val="en-IE"/>
        </w:rPr>
        <w:t xml:space="preserve">vant </w:t>
      </w:r>
      <w:r w:rsidR="009657B4">
        <w:rPr>
          <w:rFonts w:eastAsiaTheme="minorEastAsia"/>
          <w:lang w:val="en-IE"/>
        </w:rPr>
        <w:t xml:space="preserve">unprocessed </w:t>
      </w:r>
      <w:r w:rsidR="00DE3626">
        <w:rPr>
          <w:rFonts w:eastAsiaTheme="minorEastAsia"/>
          <w:lang w:val="en-IE"/>
        </w:rPr>
        <w:t>product covered by Annex I</w:t>
      </w:r>
      <w:r w:rsidR="005C2432" w:rsidRPr="005C2432">
        <w:rPr>
          <w:rFonts w:eastAsiaTheme="minorEastAsia"/>
          <w:lang w:val="en-IE"/>
        </w:rPr>
        <w:t>:</w:t>
      </w:r>
      <w:r w:rsidR="00EF2F85" w:rsidRPr="536FF9DF">
        <w:rPr>
          <w:rFonts w:eastAsiaTheme="minorEastAsia"/>
          <w:lang w:val="en-IE"/>
        </w:rPr>
        <w:t xml:space="preserve"> </w:t>
      </w:r>
    </w:p>
    <w:p w14:paraId="1CC43A1F" w14:textId="4282DE18" w:rsidR="00256764" w:rsidRDefault="00256764" w:rsidP="00256764">
      <w:pPr>
        <w:spacing w:before="120" w:after="120"/>
        <w:jc w:val="both"/>
        <w:rPr>
          <w:rFonts w:eastAsiaTheme="minorEastAsia"/>
          <w:lang w:val="en-IE"/>
        </w:rPr>
      </w:pPr>
      <w:r w:rsidRPr="005F77B4">
        <w:rPr>
          <w:rFonts w:eastAsiaTheme="minorEastAsia"/>
          <w:lang w:val="en-IE"/>
        </w:rPr>
        <w:t>Pf is &gt; 1: Residues concentrated in the processed product.</w:t>
      </w:r>
    </w:p>
    <w:p w14:paraId="2EF669B1" w14:textId="5FEDC1A6" w:rsidR="00256764" w:rsidRDefault="00256764" w:rsidP="00256764">
      <w:pPr>
        <w:spacing w:before="120" w:after="120"/>
        <w:jc w:val="both"/>
        <w:rPr>
          <w:rFonts w:eastAsiaTheme="minorEastAsia"/>
          <w:lang w:val="en-IE"/>
        </w:rPr>
      </w:pPr>
      <w:r>
        <w:rPr>
          <w:rFonts w:eastAsiaTheme="minorEastAsia"/>
          <w:lang w:val="en-IE"/>
        </w:rPr>
        <w:t>Pf is &gt;1: Residues declined in the processed product.</w:t>
      </w:r>
    </w:p>
    <w:p w14:paraId="3E416825" w14:textId="53EA9C69" w:rsidR="00256764" w:rsidRPr="005F77B4" w:rsidRDefault="00256764" w:rsidP="00256764">
      <w:pPr>
        <w:spacing w:before="120" w:after="120"/>
        <w:jc w:val="both"/>
        <w:rPr>
          <w:rFonts w:eastAsiaTheme="minorEastAsia"/>
          <w:lang w:val="en-IE"/>
        </w:rPr>
      </w:pPr>
      <w:r>
        <w:rPr>
          <w:rFonts w:eastAsiaTheme="minorEastAsia"/>
          <w:lang w:val="en-IE"/>
        </w:rPr>
        <w:t>Pf = 1: Processing did not result in a change of residue concentrations.</w:t>
      </w:r>
    </w:p>
    <w:p w14:paraId="6092FC29" w14:textId="11266EC6" w:rsidR="009C39D6" w:rsidRPr="00256764" w:rsidRDefault="009C39D6" w:rsidP="00256764">
      <w:pPr>
        <w:spacing w:after="120"/>
        <w:jc w:val="both"/>
        <w:rPr>
          <w:u w:val="single"/>
          <w:lang w:val="en-GB"/>
        </w:rPr>
      </w:pPr>
    </w:p>
    <w:tbl>
      <w:tblPr>
        <w:tblStyle w:val="TableGrid"/>
        <w:tblW w:w="9606" w:type="dxa"/>
        <w:tblLook w:val="04A0" w:firstRow="1" w:lastRow="0" w:firstColumn="1" w:lastColumn="0" w:noHBand="0" w:noVBand="1"/>
      </w:tblPr>
      <w:tblGrid>
        <w:gridCol w:w="1775"/>
        <w:gridCol w:w="1390"/>
        <w:gridCol w:w="976"/>
        <w:gridCol w:w="2659"/>
        <w:gridCol w:w="2806"/>
      </w:tblGrid>
      <w:tr w:rsidR="00F83EE0" w14:paraId="2B03CAE6" w14:textId="737D5D10" w:rsidTr="008B5AB4">
        <w:tc>
          <w:tcPr>
            <w:tcW w:w="1775" w:type="dxa"/>
            <w:shd w:val="clear" w:color="auto" w:fill="D9D9D9" w:themeFill="background1" w:themeFillShade="D9"/>
          </w:tcPr>
          <w:p w14:paraId="01E08A37" w14:textId="10311015" w:rsidR="00653551" w:rsidRPr="00FB3220" w:rsidRDefault="00653551" w:rsidP="00B573A4">
            <w:pPr>
              <w:spacing w:after="120"/>
              <w:jc w:val="both"/>
              <w:rPr>
                <w:b/>
                <w:lang w:val="en-GB"/>
              </w:rPr>
            </w:pPr>
            <w:r w:rsidRPr="001C205E">
              <w:rPr>
                <w:b/>
                <w:lang w:val="en-GB"/>
              </w:rPr>
              <w:t xml:space="preserve">Residue content in processed </w:t>
            </w:r>
            <w:r>
              <w:rPr>
                <w:b/>
                <w:lang w:val="en-GB"/>
              </w:rPr>
              <w:t>product</w:t>
            </w:r>
          </w:p>
        </w:tc>
        <w:tc>
          <w:tcPr>
            <w:tcW w:w="1390" w:type="dxa"/>
            <w:shd w:val="clear" w:color="auto" w:fill="D9D9D9" w:themeFill="background1" w:themeFillShade="D9"/>
          </w:tcPr>
          <w:p w14:paraId="1E2300E0" w14:textId="055EBC67" w:rsidR="00653551" w:rsidRPr="00FB3220" w:rsidRDefault="00653551" w:rsidP="001C205E">
            <w:pPr>
              <w:spacing w:after="120"/>
              <w:jc w:val="both"/>
              <w:rPr>
                <w:b/>
                <w:lang w:val="en-GB"/>
              </w:rPr>
            </w:pPr>
            <w:r w:rsidRPr="00FB3220">
              <w:rPr>
                <w:b/>
                <w:lang w:val="en-GB"/>
              </w:rPr>
              <w:t xml:space="preserve">MRL </w:t>
            </w:r>
          </w:p>
        </w:tc>
        <w:tc>
          <w:tcPr>
            <w:tcW w:w="976" w:type="dxa"/>
            <w:shd w:val="clear" w:color="auto" w:fill="D9D9D9" w:themeFill="background1" w:themeFillShade="D9"/>
          </w:tcPr>
          <w:p w14:paraId="3FE56140" w14:textId="77777777" w:rsidR="00653551" w:rsidRPr="00FB3220" w:rsidRDefault="00653551" w:rsidP="00FD3505">
            <w:pPr>
              <w:spacing w:after="120"/>
              <w:jc w:val="both"/>
              <w:rPr>
                <w:b/>
                <w:lang w:val="en-GB"/>
              </w:rPr>
            </w:pPr>
            <w:r w:rsidRPr="00FB3220">
              <w:rPr>
                <w:b/>
                <w:lang w:val="en-GB"/>
              </w:rPr>
              <w:t xml:space="preserve">Pf </w:t>
            </w:r>
          </w:p>
        </w:tc>
        <w:tc>
          <w:tcPr>
            <w:tcW w:w="2659" w:type="dxa"/>
            <w:shd w:val="clear" w:color="auto" w:fill="D9D9D9" w:themeFill="background1" w:themeFillShade="D9"/>
          </w:tcPr>
          <w:p w14:paraId="2EBDFBA5" w14:textId="27ABE179" w:rsidR="00653551" w:rsidRDefault="00653551" w:rsidP="00B573A4">
            <w:pPr>
              <w:spacing w:after="120"/>
              <w:jc w:val="both"/>
              <w:rPr>
                <w:b/>
                <w:lang w:val="en-GB"/>
              </w:rPr>
            </w:pPr>
            <w:r w:rsidRPr="00653551">
              <w:rPr>
                <w:b/>
                <w:lang w:val="en-GB"/>
              </w:rPr>
              <w:t>MRL applicable to processed product</w:t>
            </w:r>
          </w:p>
        </w:tc>
        <w:tc>
          <w:tcPr>
            <w:tcW w:w="2806" w:type="dxa"/>
            <w:shd w:val="clear" w:color="auto" w:fill="D9D9D9" w:themeFill="background1" w:themeFillShade="D9"/>
          </w:tcPr>
          <w:p w14:paraId="2B681E3C" w14:textId="5CA78D7C" w:rsidR="00653551" w:rsidRPr="00FB3220" w:rsidRDefault="00653551" w:rsidP="00FD3505">
            <w:pPr>
              <w:spacing w:after="120"/>
              <w:jc w:val="both"/>
              <w:rPr>
                <w:b/>
                <w:lang w:val="en-GB"/>
              </w:rPr>
            </w:pPr>
            <w:r w:rsidRPr="001C205E">
              <w:rPr>
                <w:b/>
                <w:lang w:val="en-GB"/>
              </w:rPr>
              <w:t>Status of the sample according to Regulation (EC) No 396/2005</w:t>
            </w:r>
          </w:p>
        </w:tc>
      </w:tr>
      <w:tr w:rsidR="00F83EE0" w14:paraId="69158A90" w14:textId="545C9B2B" w:rsidTr="008B5AB4">
        <w:tc>
          <w:tcPr>
            <w:tcW w:w="1775" w:type="dxa"/>
          </w:tcPr>
          <w:p w14:paraId="4B8B9D24" w14:textId="04AAC2C1" w:rsidR="00653551" w:rsidRDefault="0059269C" w:rsidP="00D05656">
            <w:pPr>
              <w:jc w:val="both"/>
              <w:rPr>
                <w:lang w:val="en-GB"/>
              </w:rPr>
            </w:pPr>
            <w:r>
              <w:rPr>
                <w:b/>
                <w:lang w:val="en-GB"/>
              </w:rPr>
              <w:t>2.2</w:t>
            </w:r>
            <w:r w:rsidR="00653551">
              <w:rPr>
                <w:b/>
                <w:lang w:val="en-GB"/>
              </w:rPr>
              <w:t xml:space="preserve"> </w:t>
            </w:r>
            <w:r w:rsidR="00653551" w:rsidRPr="00883021">
              <w:rPr>
                <w:b/>
                <w:lang w:val="en-GB"/>
              </w:rPr>
              <w:t>±</w:t>
            </w:r>
            <w:r w:rsidR="00653551">
              <w:rPr>
                <w:b/>
                <w:lang w:val="en-GB"/>
              </w:rPr>
              <w:t xml:space="preserve"> </w:t>
            </w:r>
            <w:r>
              <w:rPr>
                <w:b/>
                <w:lang w:val="en-GB"/>
              </w:rPr>
              <w:t>1.1</w:t>
            </w:r>
            <w:r w:rsidR="00806701">
              <w:rPr>
                <w:b/>
                <w:lang w:val="en-GB"/>
              </w:rPr>
              <w:t xml:space="preserve"> </w:t>
            </w:r>
            <w:r w:rsidR="00653551">
              <w:rPr>
                <w:b/>
                <w:lang w:val="en-GB"/>
              </w:rPr>
              <w:t>mg/kg of p</w:t>
            </w:r>
            <w:r w:rsidR="00653551" w:rsidRPr="00FB3220">
              <w:rPr>
                <w:b/>
                <w:lang w:val="en-GB"/>
              </w:rPr>
              <w:t xml:space="preserve">enthiopyrad in </w:t>
            </w:r>
            <w:r w:rsidR="00491EEB">
              <w:rPr>
                <w:b/>
                <w:lang w:val="en-GB"/>
              </w:rPr>
              <w:t>unpitted</w:t>
            </w:r>
            <w:r w:rsidR="00491EEB" w:rsidRPr="00FB3220">
              <w:rPr>
                <w:b/>
                <w:lang w:val="en-GB"/>
              </w:rPr>
              <w:t xml:space="preserve"> </w:t>
            </w:r>
            <w:r>
              <w:rPr>
                <w:b/>
                <w:lang w:val="en-GB"/>
              </w:rPr>
              <w:t>dry</w:t>
            </w:r>
            <w:r w:rsidR="00653551" w:rsidRPr="00FB3220">
              <w:rPr>
                <w:b/>
                <w:lang w:val="en-GB"/>
              </w:rPr>
              <w:t xml:space="preserve"> prunes</w:t>
            </w:r>
            <w:r>
              <w:rPr>
                <w:b/>
                <w:lang w:val="en-GB"/>
              </w:rPr>
              <w:t xml:space="preserve"> </w:t>
            </w:r>
            <w:r w:rsidR="00D05656" w:rsidRPr="00D05656">
              <w:rPr>
                <w:b/>
                <w:lang w:val="en-GB"/>
              </w:rPr>
              <w:t>(1.1-3.3 mg/kg)</w:t>
            </w:r>
          </w:p>
        </w:tc>
        <w:tc>
          <w:tcPr>
            <w:tcW w:w="1390" w:type="dxa"/>
          </w:tcPr>
          <w:p w14:paraId="461841C6" w14:textId="307342FA" w:rsidR="00653551" w:rsidRPr="00DE3626" w:rsidRDefault="00653551" w:rsidP="00546459">
            <w:pPr>
              <w:jc w:val="both"/>
              <w:rPr>
                <w:lang w:val="en-IE"/>
              </w:rPr>
            </w:pPr>
            <w:r w:rsidRPr="00DE3626">
              <w:rPr>
                <w:lang w:val="en-IE"/>
              </w:rPr>
              <w:t>1.5mg/kg in fresh plums</w:t>
            </w:r>
            <w:r w:rsidR="00BF181D" w:rsidRPr="00DE3626">
              <w:rPr>
                <w:lang w:val="en-IE"/>
              </w:rPr>
              <w:t xml:space="preserve"> with stones</w:t>
            </w:r>
          </w:p>
        </w:tc>
        <w:tc>
          <w:tcPr>
            <w:tcW w:w="976" w:type="dxa"/>
          </w:tcPr>
          <w:p w14:paraId="01A22218" w14:textId="7311B039" w:rsidR="00653551" w:rsidRDefault="00653551" w:rsidP="00745B6D">
            <w:pPr>
              <w:jc w:val="both"/>
              <w:rPr>
                <w:lang w:val="en-GB"/>
              </w:rPr>
            </w:pPr>
            <w:r>
              <w:rPr>
                <w:lang w:val="en-GB"/>
              </w:rPr>
              <w:t>1.4</w:t>
            </w:r>
            <w:r w:rsidR="00BF181D">
              <w:rPr>
                <w:lang w:val="en-GB"/>
              </w:rPr>
              <w:t xml:space="preserve"> for dried plums (prunes)</w:t>
            </w:r>
            <w:r w:rsidR="00792250">
              <w:rPr>
                <w:lang w:val="en-GB"/>
              </w:rPr>
              <w:t xml:space="preserve"> </w:t>
            </w:r>
          </w:p>
          <w:p w14:paraId="2BA01EA6" w14:textId="42749FDC" w:rsidR="00792250" w:rsidRDefault="00792250" w:rsidP="00745B6D">
            <w:pPr>
              <w:jc w:val="both"/>
              <w:rPr>
                <w:lang w:val="en-GB"/>
              </w:rPr>
            </w:pPr>
          </w:p>
        </w:tc>
        <w:tc>
          <w:tcPr>
            <w:tcW w:w="2659" w:type="dxa"/>
          </w:tcPr>
          <w:p w14:paraId="4475B757" w14:textId="614A3C30" w:rsidR="00653551" w:rsidRPr="00B573A4" w:rsidRDefault="00653551" w:rsidP="007A37CF">
            <w:pPr>
              <w:jc w:val="both"/>
              <w:rPr>
                <w:lang w:val="en-GB"/>
              </w:rPr>
            </w:pPr>
            <w:r>
              <w:rPr>
                <w:lang w:val="en-GB"/>
              </w:rPr>
              <w:t>1.5</w:t>
            </w:r>
            <w:r w:rsidR="00503674">
              <w:rPr>
                <w:lang w:val="en-GB"/>
              </w:rPr>
              <w:t>*</w:t>
            </w:r>
            <w:r>
              <w:rPr>
                <w:lang w:val="en-GB"/>
              </w:rPr>
              <w:t>1.4=</w:t>
            </w:r>
            <w:r w:rsidRPr="00C9399A">
              <w:rPr>
                <w:lang w:val="en-GB"/>
              </w:rPr>
              <w:t>2.1mg/kg</w:t>
            </w:r>
          </w:p>
        </w:tc>
        <w:tc>
          <w:tcPr>
            <w:tcW w:w="2806" w:type="dxa"/>
          </w:tcPr>
          <w:p w14:paraId="7FB9A35F" w14:textId="552C3938" w:rsidR="00653551" w:rsidRDefault="00EC75E3" w:rsidP="0059269C">
            <w:pPr>
              <w:jc w:val="both"/>
              <w:rPr>
                <w:lang w:val="en-GB"/>
              </w:rPr>
            </w:pPr>
            <w:r>
              <w:rPr>
                <w:lang w:val="en-GB"/>
              </w:rPr>
              <w:t>Measurement</w:t>
            </w:r>
            <w:r w:rsidRPr="00DE2015">
              <w:rPr>
                <w:lang w:val="en-GB"/>
              </w:rPr>
              <w:t xml:space="preserve"> </w:t>
            </w:r>
            <w:r w:rsidR="00DE2015" w:rsidRPr="00DE2015">
              <w:rPr>
                <w:lang w:val="en-GB"/>
              </w:rPr>
              <w:t xml:space="preserve">uncertainty is considered in favour of the producer/distributor. </w:t>
            </w:r>
            <w:r w:rsidR="00653551">
              <w:rPr>
                <w:lang w:val="en-GB"/>
              </w:rPr>
              <w:t xml:space="preserve">A level of </w:t>
            </w:r>
            <w:r w:rsidR="0059269C">
              <w:rPr>
                <w:lang w:val="en-GB"/>
              </w:rPr>
              <w:t>2.2</w:t>
            </w:r>
            <w:r w:rsidR="00AF529D">
              <w:rPr>
                <w:lang w:val="en-GB"/>
              </w:rPr>
              <w:t xml:space="preserve"> </w:t>
            </w:r>
            <w:r w:rsidR="00653551" w:rsidRPr="00B573A4">
              <w:rPr>
                <w:lang w:val="en-GB"/>
              </w:rPr>
              <w:t>±</w:t>
            </w:r>
            <w:r w:rsidR="00AF529D">
              <w:rPr>
                <w:lang w:val="en-GB"/>
              </w:rPr>
              <w:t xml:space="preserve"> </w:t>
            </w:r>
            <w:r w:rsidR="0059269C">
              <w:rPr>
                <w:lang w:val="en-GB"/>
              </w:rPr>
              <w:t>1.1</w:t>
            </w:r>
            <w:r w:rsidR="00653551" w:rsidRPr="00B573A4">
              <w:rPr>
                <w:lang w:val="en-GB"/>
              </w:rPr>
              <w:t xml:space="preserve">mg/kg </w:t>
            </w:r>
            <w:r w:rsidR="00653551">
              <w:rPr>
                <w:lang w:val="en-GB"/>
              </w:rPr>
              <w:t>penthiopyrad in dried plums</w:t>
            </w:r>
            <w:r w:rsidR="00C645B2">
              <w:rPr>
                <w:lang w:val="en-GB"/>
              </w:rPr>
              <w:t xml:space="preserve"> is compliant.</w:t>
            </w:r>
          </w:p>
        </w:tc>
      </w:tr>
      <w:tr w:rsidR="00F83EE0" w14:paraId="5481308B" w14:textId="77777777" w:rsidTr="008B5AB4">
        <w:tc>
          <w:tcPr>
            <w:tcW w:w="1775" w:type="dxa"/>
          </w:tcPr>
          <w:p w14:paraId="2E4C29C1" w14:textId="18EC8C34" w:rsidR="00A073A7" w:rsidRDefault="00A073A7" w:rsidP="00A073A7">
            <w:pPr>
              <w:rPr>
                <w:b/>
                <w:lang w:val="en-GB"/>
              </w:rPr>
            </w:pPr>
            <w:r>
              <w:rPr>
                <w:b/>
                <w:lang w:val="en-GB"/>
              </w:rPr>
              <w:t xml:space="preserve">0.49 </w:t>
            </w:r>
            <w:r w:rsidRPr="00A073A7">
              <w:rPr>
                <w:b/>
                <w:lang w:val="en-GB"/>
              </w:rPr>
              <w:t>±</w:t>
            </w:r>
            <w:r>
              <w:rPr>
                <w:b/>
                <w:lang w:val="en-GB"/>
              </w:rPr>
              <w:t xml:space="preserve"> 0.25 mg/kg i</w:t>
            </w:r>
            <w:r w:rsidRPr="00A073A7">
              <w:rPr>
                <w:b/>
                <w:lang w:val="en-GB"/>
              </w:rPr>
              <w:t>midacloprid</w:t>
            </w:r>
            <w:r>
              <w:rPr>
                <w:b/>
                <w:lang w:val="en-GB"/>
              </w:rPr>
              <w:t xml:space="preserve"> in green/yellow raisins</w:t>
            </w:r>
          </w:p>
        </w:tc>
        <w:tc>
          <w:tcPr>
            <w:tcW w:w="1390" w:type="dxa"/>
          </w:tcPr>
          <w:p w14:paraId="3AEAAC4D" w14:textId="4AD38ABF" w:rsidR="00A073A7" w:rsidRDefault="00A073A7" w:rsidP="00BF7072">
            <w:pPr>
              <w:jc w:val="both"/>
              <w:rPr>
                <w:lang w:val="en-GB"/>
              </w:rPr>
            </w:pPr>
            <w:r>
              <w:rPr>
                <w:lang w:val="en-GB"/>
              </w:rPr>
              <w:t>1</w:t>
            </w:r>
            <w:r w:rsidR="00BF181D">
              <w:rPr>
                <w:lang w:val="en-GB"/>
              </w:rPr>
              <w:t xml:space="preserve"> mg/kg</w:t>
            </w:r>
            <w:r w:rsidR="0061707E">
              <w:t xml:space="preserve"> i</w:t>
            </w:r>
            <w:r w:rsidR="0061707E" w:rsidRPr="0061707E">
              <w:rPr>
                <w:lang w:val="en-GB"/>
              </w:rPr>
              <w:t>n table grapes</w:t>
            </w:r>
          </w:p>
        </w:tc>
        <w:tc>
          <w:tcPr>
            <w:tcW w:w="976" w:type="dxa"/>
          </w:tcPr>
          <w:p w14:paraId="57E0E1FC" w14:textId="0B031078" w:rsidR="00A073A7" w:rsidRDefault="00A073A7" w:rsidP="00BF7072">
            <w:pPr>
              <w:jc w:val="both"/>
              <w:rPr>
                <w:lang w:val="en-GB"/>
              </w:rPr>
            </w:pPr>
            <w:r>
              <w:rPr>
                <w:lang w:val="en-GB"/>
              </w:rPr>
              <w:t>2.5</w:t>
            </w:r>
            <w:r w:rsidR="00BF181D">
              <w:t xml:space="preserve"> </w:t>
            </w:r>
            <w:r w:rsidR="00BF181D" w:rsidRPr="00BF181D">
              <w:rPr>
                <w:lang w:val="en-GB"/>
              </w:rPr>
              <w:t>for dried grapes (raisins)</w:t>
            </w:r>
          </w:p>
        </w:tc>
        <w:tc>
          <w:tcPr>
            <w:tcW w:w="2659" w:type="dxa"/>
          </w:tcPr>
          <w:p w14:paraId="694A5C7B" w14:textId="5A9B09FE" w:rsidR="00A073A7" w:rsidRDefault="00A073A7" w:rsidP="004D7EBC">
            <w:pPr>
              <w:jc w:val="both"/>
              <w:rPr>
                <w:lang w:val="en-GB"/>
              </w:rPr>
            </w:pPr>
            <w:r>
              <w:rPr>
                <w:lang w:val="en-GB"/>
              </w:rPr>
              <w:t>1*2.5= 2.5 mg/kg</w:t>
            </w:r>
          </w:p>
        </w:tc>
        <w:tc>
          <w:tcPr>
            <w:tcW w:w="2806" w:type="dxa"/>
          </w:tcPr>
          <w:p w14:paraId="64CAD603" w14:textId="7A2E2B15" w:rsidR="00A073A7" w:rsidRPr="0045309D" w:rsidRDefault="00A073A7" w:rsidP="00C645B2">
            <w:pPr>
              <w:jc w:val="both"/>
              <w:rPr>
                <w:lang w:val="en-GB"/>
              </w:rPr>
            </w:pPr>
            <w:r w:rsidRPr="0045309D">
              <w:rPr>
                <w:lang w:val="en-GB"/>
              </w:rPr>
              <w:t>A level of 0.49 ± 0.25 mg/kg imidacloprid in green/yellow raisins is compliant</w:t>
            </w:r>
          </w:p>
        </w:tc>
      </w:tr>
      <w:tr w:rsidR="00F83EE0" w14:paraId="183521B6" w14:textId="77777777" w:rsidTr="008B5AB4">
        <w:trPr>
          <w:trHeight w:val="252"/>
        </w:trPr>
        <w:tc>
          <w:tcPr>
            <w:tcW w:w="1775" w:type="dxa"/>
            <w:hideMark/>
          </w:tcPr>
          <w:p w14:paraId="54D6DC48" w14:textId="3696A5BB" w:rsidR="0061707E" w:rsidRPr="0061707E" w:rsidRDefault="0061707E" w:rsidP="0061707E">
            <w:pPr>
              <w:jc w:val="both"/>
              <w:rPr>
                <w:b/>
                <w:lang w:val="en-GB"/>
              </w:rPr>
            </w:pPr>
            <w:r w:rsidRPr="0061707E">
              <w:rPr>
                <w:b/>
                <w:lang w:val="en-GB"/>
              </w:rPr>
              <w:t>2.5 mg/kg ± 1.25 chlorothalonil in raisins</w:t>
            </w:r>
          </w:p>
        </w:tc>
        <w:tc>
          <w:tcPr>
            <w:tcW w:w="1390" w:type="dxa"/>
            <w:hideMark/>
          </w:tcPr>
          <w:p w14:paraId="51CDAC2B" w14:textId="08ADF16F" w:rsidR="0061707E" w:rsidRPr="0061707E" w:rsidRDefault="0061707E" w:rsidP="0061707E">
            <w:pPr>
              <w:jc w:val="both"/>
              <w:rPr>
                <w:lang w:val="en-GB"/>
              </w:rPr>
            </w:pPr>
            <w:r w:rsidRPr="0061707E">
              <w:rPr>
                <w:lang w:val="en-GB"/>
              </w:rPr>
              <w:t xml:space="preserve">0.01*mg/kg in table grapes </w:t>
            </w:r>
          </w:p>
        </w:tc>
        <w:tc>
          <w:tcPr>
            <w:tcW w:w="976" w:type="dxa"/>
            <w:hideMark/>
          </w:tcPr>
          <w:p w14:paraId="5A52CAAE" w14:textId="4F5D279B" w:rsidR="0061707E" w:rsidRPr="0061707E" w:rsidRDefault="0061707E" w:rsidP="0061707E">
            <w:pPr>
              <w:jc w:val="both"/>
              <w:rPr>
                <w:lang w:val="en-GB"/>
              </w:rPr>
            </w:pPr>
            <w:r w:rsidRPr="0061707E">
              <w:rPr>
                <w:lang w:val="en-GB"/>
              </w:rPr>
              <w:t>0.50</w:t>
            </w:r>
            <w:r w:rsidR="00BF181D">
              <w:t xml:space="preserve"> </w:t>
            </w:r>
            <w:r w:rsidR="00BF181D" w:rsidRPr="00BF181D">
              <w:rPr>
                <w:lang w:val="en-GB"/>
              </w:rPr>
              <w:t>for dried grapes (raisins)</w:t>
            </w:r>
          </w:p>
          <w:p w14:paraId="353665FB" w14:textId="592E774C" w:rsidR="0061707E" w:rsidRPr="0061707E" w:rsidRDefault="0061707E" w:rsidP="0061707E">
            <w:pPr>
              <w:jc w:val="both"/>
              <w:rPr>
                <w:lang w:val="en-GB"/>
              </w:rPr>
            </w:pPr>
          </w:p>
        </w:tc>
        <w:tc>
          <w:tcPr>
            <w:tcW w:w="2659" w:type="dxa"/>
            <w:hideMark/>
          </w:tcPr>
          <w:p w14:paraId="02F30FD3" w14:textId="6BD2005F" w:rsidR="0061707E" w:rsidRPr="0061707E" w:rsidRDefault="0061707E" w:rsidP="0061707E">
            <w:pPr>
              <w:jc w:val="both"/>
              <w:rPr>
                <w:lang w:val="en-GB"/>
              </w:rPr>
            </w:pPr>
            <w:r w:rsidRPr="0061707E">
              <w:rPr>
                <w:lang w:val="en-GB"/>
              </w:rPr>
              <w:t>0.01*0.5 = 0.005mg/kg</w:t>
            </w:r>
          </w:p>
          <w:p w14:paraId="41B2C9A0" w14:textId="5414A70F" w:rsidR="0061707E" w:rsidRPr="0061707E" w:rsidRDefault="0061707E" w:rsidP="0061707E">
            <w:pPr>
              <w:jc w:val="both"/>
              <w:rPr>
                <w:lang w:val="en-GB"/>
              </w:rPr>
            </w:pPr>
          </w:p>
        </w:tc>
        <w:tc>
          <w:tcPr>
            <w:tcW w:w="2806" w:type="dxa"/>
            <w:hideMark/>
          </w:tcPr>
          <w:p w14:paraId="02EDCCE8" w14:textId="520A4C5C" w:rsidR="0061707E" w:rsidRPr="008B5AB4" w:rsidRDefault="00DF5554" w:rsidP="0061707E">
            <w:pPr>
              <w:jc w:val="both"/>
              <w:rPr>
                <w:b/>
                <w:lang w:val="en-GB"/>
              </w:rPr>
            </w:pPr>
            <w:r>
              <w:rPr>
                <w:lang w:val="en-GB"/>
              </w:rPr>
              <w:t xml:space="preserve">A level of </w:t>
            </w:r>
            <w:r w:rsidRPr="00DF5554">
              <w:rPr>
                <w:lang w:val="en-GB"/>
              </w:rPr>
              <w:t>2.5 mg/kg ± 1.25 chlorothalonil in raisins</w:t>
            </w:r>
            <w:r>
              <w:rPr>
                <w:lang w:val="en-GB"/>
              </w:rPr>
              <w:t xml:space="preserve"> is</w:t>
            </w:r>
            <w:r w:rsidRPr="00DF5554">
              <w:rPr>
                <w:lang w:val="en-GB"/>
              </w:rPr>
              <w:t xml:space="preserve"> </w:t>
            </w:r>
            <w:r w:rsidR="0061707E" w:rsidRPr="008B5AB4">
              <w:rPr>
                <w:b/>
                <w:lang w:val="en-GB"/>
              </w:rPr>
              <w:t xml:space="preserve">not compliant </w:t>
            </w:r>
          </w:p>
          <w:p w14:paraId="77DA9939" w14:textId="4A01D336" w:rsidR="0061707E" w:rsidRPr="0061707E" w:rsidRDefault="0061707E" w:rsidP="0061707E">
            <w:pPr>
              <w:jc w:val="both"/>
              <w:rPr>
                <w:lang w:val="en-GB"/>
              </w:rPr>
            </w:pPr>
          </w:p>
        </w:tc>
      </w:tr>
      <w:tr w:rsidR="00F83EE0" w:rsidRPr="0045309D" w14:paraId="084AE3BA" w14:textId="77777777" w:rsidTr="008B5AB4">
        <w:tc>
          <w:tcPr>
            <w:tcW w:w="1775" w:type="dxa"/>
          </w:tcPr>
          <w:p w14:paraId="0B436122" w14:textId="42246370" w:rsidR="0061707E" w:rsidRPr="00FB3220" w:rsidRDefault="0061707E" w:rsidP="00810B49">
            <w:pPr>
              <w:jc w:val="both"/>
              <w:rPr>
                <w:b/>
                <w:lang w:val="en-GB"/>
              </w:rPr>
            </w:pPr>
            <w:r>
              <w:rPr>
                <w:b/>
                <w:lang w:val="en-GB"/>
              </w:rPr>
              <w:lastRenderedPageBreak/>
              <w:t xml:space="preserve">0.026 </w:t>
            </w:r>
            <w:r w:rsidRPr="00883021">
              <w:rPr>
                <w:b/>
                <w:lang w:val="en-GB"/>
              </w:rPr>
              <w:t>±</w:t>
            </w:r>
            <w:r>
              <w:rPr>
                <w:b/>
                <w:lang w:val="en-GB"/>
              </w:rPr>
              <w:t xml:space="preserve"> 0.013 mg/kg of profenofos in rice (basmati</w:t>
            </w:r>
            <w:r w:rsidR="00BF181D">
              <w:rPr>
                <w:b/>
                <w:lang w:val="en-GB"/>
              </w:rPr>
              <w:t>, polished</w:t>
            </w:r>
            <w:r>
              <w:rPr>
                <w:b/>
                <w:lang w:val="en-GB"/>
              </w:rPr>
              <w:t>)</w:t>
            </w:r>
          </w:p>
        </w:tc>
        <w:tc>
          <w:tcPr>
            <w:tcW w:w="1390" w:type="dxa"/>
          </w:tcPr>
          <w:p w14:paraId="2CC97A32" w14:textId="77777777" w:rsidR="0061707E" w:rsidRDefault="0061707E" w:rsidP="00810B49">
            <w:pPr>
              <w:jc w:val="both"/>
              <w:rPr>
                <w:lang w:val="en-GB"/>
              </w:rPr>
            </w:pPr>
            <w:r>
              <w:rPr>
                <w:lang w:val="en-GB"/>
              </w:rPr>
              <w:t>0.01</w:t>
            </w:r>
            <w:r w:rsidR="00BF181D">
              <w:rPr>
                <w:lang w:val="en-GB"/>
              </w:rPr>
              <w:t>* mg/kg</w:t>
            </w:r>
          </w:p>
          <w:p w14:paraId="32F201B6" w14:textId="3BE96E4E" w:rsidR="00060B2D" w:rsidRDefault="00060B2D" w:rsidP="00810B49">
            <w:pPr>
              <w:jc w:val="both"/>
              <w:rPr>
                <w:lang w:val="en-GB"/>
              </w:rPr>
            </w:pPr>
            <w:r>
              <w:rPr>
                <w:lang w:val="en-GB"/>
              </w:rPr>
              <w:t>in rice</w:t>
            </w:r>
          </w:p>
        </w:tc>
        <w:tc>
          <w:tcPr>
            <w:tcW w:w="976" w:type="dxa"/>
          </w:tcPr>
          <w:p w14:paraId="09386AFA" w14:textId="1C41FCB2" w:rsidR="0061707E" w:rsidRDefault="0061707E" w:rsidP="00810B49">
            <w:pPr>
              <w:jc w:val="both"/>
              <w:rPr>
                <w:lang w:val="en-GB"/>
              </w:rPr>
            </w:pPr>
            <w:r>
              <w:rPr>
                <w:lang w:val="en-GB"/>
              </w:rPr>
              <w:t>0.5</w:t>
            </w:r>
            <w:r w:rsidR="00060B2D">
              <w:rPr>
                <w:lang w:val="en-GB"/>
              </w:rPr>
              <w:t xml:space="preserve"> for </w:t>
            </w:r>
            <w:r w:rsidR="00B07598">
              <w:rPr>
                <w:lang w:val="en-GB"/>
              </w:rPr>
              <w:t>polished rice</w:t>
            </w:r>
          </w:p>
        </w:tc>
        <w:tc>
          <w:tcPr>
            <w:tcW w:w="2659" w:type="dxa"/>
          </w:tcPr>
          <w:p w14:paraId="546CB3B7" w14:textId="77777777" w:rsidR="0061707E" w:rsidRDefault="0061707E" w:rsidP="00810B49">
            <w:pPr>
              <w:jc w:val="both"/>
              <w:rPr>
                <w:lang w:val="en-GB"/>
              </w:rPr>
            </w:pPr>
            <w:r>
              <w:rPr>
                <w:lang w:val="en-GB"/>
              </w:rPr>
              <w:t>0.01*0.5= 0.005mg/kg</w:t>
            </w:r>
          </w:p>
        </w:tc>
        <w:tc>
          <w:tcPr>
            <w:tcW w:w="2806" w:type="dxa"/>
          </w:tcPr>
          <w:p w14:paraId="6937447A" w14:textId="44E87AB1" w:rsidR="0061707E" w:rsidRPr="0045309D" w:rsidRDefault="0061707E" w:rsidP="00810B49">
            <w:pPr>
              <w:jc w:val="both"/>
              <w:rPr>
                <w:lang w:val="en-GB"/>
              </w:rPr>
            </w:pPr>
            <w:r w:rsidRPr="0045309D">
              <w:rPr>
                <w:lang w:val="en-GB"/>
              </w:rPr>
              <w:t>A level of 0.026 ± 0.013 mg/kg of profenofos in</w:t>
            </w:r>
            <w:r w:rsidR="00AF5939">
              <w:rPr>
                <w:lang w:val="en-GB"/>
              </w:rPr>
              <w:t xml:space="preserve"> polished</w:t>
            </w:r>
            <w:r w:rsidRPr="0045309D">
              <w:rPr>
                <w:lang w:val="en-GB"/>
              </w:rPr>
              <w:t xml:space="preserve"> rice (basmati) is </w:t>
            </w:r>
            <w:r w:rsidRPr="008B5AB4">
              <w:rPr>
                <w:b/>
                <w:lang w:val="en-GB"/>
              </w:rPr>
              <w:t>not compliant</w:t>
            </w:r>
          </w:p>
        </w:tc>
      </w:tr>
      <w:tr w:rsidR="00F83EE0" w14:paraId="6C598415" w14:textId="77777777" w:rsidTr="008B5AB4">
        <w:tc>
          <w:tcPr>
            <w:tcW w:w="1775" w:type="dxa"/>
            <w:hideMark/>
          </w:tcPr>
          <w:p w14:paraId="0D5C5588" w14:textId="77777777" w:rsidR="008B5AB4" w:rsidRDefault="008B5AB4">
            <w:pPr>
              <w:jc w:val="both"/>
              <w:rPr>
                <w:b/>
                <w:lang w:val="en-GB"/>
              </w:rPr>
            </w:pPr>
            <w:r>
              <w:rPr>
                <w:b/>
                <w:lang w:val="en-GB"/>
              </w:rPr>
              <w:t>0.50 ± 0.25  mg/kg of benzovindiflupyr in gluten feed meal</w:t>
            </w:r>
          </w:p>
        </w:tc>
        <w:tc>
          <w:tcPr>
            <w:tcW w:w="1390" w:type="dxa"/>
            <w:hideMark/>
          </w:tcPr>
          <w:p w14:paraId="2A49E94C" w14:textId="77777777" w:rsidR="008B5AB4" w:rsidRDefault="008B5AB4">
            <w:pPr>
              <w:jc w:val="both"/>
              <w:rPr>
                <w:lang w:val="en-GB"/>
              </w:rPr>
            </w:pPr>
            <w:r>
              <w:rPr>
                <w:lang w:val="en-GB"/>
              </w:rPr>
              <w:t>0.1 mg/kg in wheat</w:t>
            </w:r>
          </w:p>
        </w:tc>
        <w:tc>
          <w:tcPr>
            <w:tcW w:w="976" w:type="dxa"/>
            <w:hideMark/>
          </w:tcPr>
          <w:p w14:paraId="7087C67F" w14:textId="77777777" w:rsidR="008B5AB4" w:rsidRDefault="008B5AB4">
            <w:pPr>
              <w:jc w:val="both"/>
              <w:rPr>
                <w:lang w:val="en-GB"/>
              </w:rPr>
            </w:pPr>
            <w:r>
              <w:rPr>
                <w:lang w:val="en-GB"/>
              </w:rPr>
              <w:t>3.3</w:t>
            </w:r>
          </w:p>
        </w:tc>
        <w:tc>
          <w:tcPr>
            <w:tcW w:w="2659" w:type="dxa"/>
            <w:hideMark/>
          </w:tcPr>
          <w:p w14:paraId="23D6F7B1" w14:textId="77777777" w:rsidR="008B5AB4" w:rsidRDefault="008B5AB4">
            <w:pPr>
              <w:jc w:val="both"/>
              <w:rPr>
                <w:lang w:val="en-GB"/>
              </w:rPr>
            </w:pPr>
            <w:r>
              <w:rPr>
                <w:lang w:val="en-GB"/>
              </w:rPr>
              <w:t>0.1*3.3 = 0.33 mg/kg</w:t>
            </w:r>
          </w:p>
        </w:tc>
        <w:tc>
          <w:tcPr>
            <w:tcW w:w="2806" w:type="dxa"/>
            <w:hideMark/>
          </w:tcPr>
          <w:p w14:paraId="08E8F707" w14:textId="0B0C7F11" w:rsidR="008B5AB4" w:rsidRDefault="008B5AB4" w:rsidP="008B5AB4">
            <w:pPr>
              <w:jc w:val="both"/>
              <w:rPr>
                <w:lang w:val="en-GB"/>
              </w:rPr>
            </w:pPr>
            <w:r>
              <w:rPr>
                <w:lang w:val="en-GB"/>
              </w:rPr>
              <w:t>A level of 0.50 ± 0.25  mg/kg</w:t>
            </w:r>
            <w:r>
              <w:rPr>
                <w:b/>
                <w:lang w:val="en-GB"/>
              </w:rPr>
              <w:t xml:space="preserve"> </w:t>
            </w:r>
            <w:r>
              <w:rPr>
                <w:lang w:val="en-GB"/>
              </w:rPr>
              <w:t>benzovindiflupyr in gluten feed meal is compliant.</w:t>
            </w:r>
          </w:p>
        </w:tc>
      </w:tr>
      <w:tr w:rsidR="00F83EE0" w14:paraId="7FD28C2E" w14:textId="77777777" w:rsidTr="008B5AB4">
        <w:tc>
          <w:tcPr>
            <w:tcW w:w="1775" w:type="dxa"/>
            <w:hideMark/>
          </w:tcPr>
          <w:p w14:paraId="412D10D7" w14:textId="77777777" w:rsidR="008B5AB4" w:rsidRDefault="008B5AB4">
            <w:pPr>
              <w:jc w:val="both"/>
              <w:rPr>
                <w:b/>
                <w:lang w:val="en-GB"/>
              </w:rPr>
            </w:pPr>
            <w:r>
              <w:rPr>
                <w:b/>
                <w:lang w:val="en-GB"/>
              </w:rPr>
              <w:t>0.36 ± 0.18 mg/kg boscalid in apple juice (clarified, pasteurised)</w:t>
            </w:r>
          </w:p>
        </w:tc>
        <w:tc>
          <w:tcPr>
            <w:tcW w:w="1390" w:type="dxa"/>
            <w:hideMark/>
          </w:tcPr>
          <w:p w14:paraId="78EBE1A4" w14:textId="77777777" w:rsidR="008B5AB4" w:rsidRDefault="008B5AB4">
            <w:pPr>
              <w:jc w:val="both"/>
              <w:rPr>
                <w:lang w:val="en-GB"/>
              </w:rPr>
            </w:pPr>
            <w:r>
              <w:rPr>
                <w:lang w:val="en-GB"/>
              </w:rPr>
              <w:t>2.0 mg/kg in fresh apples</w:t>
            </w:r>
          </w:p>
        </w:tc>
        <w:tc>
          <w:tcPr>
            <w:tcW w:w="976" w:type="dxa"/>
            <w:hideMark/>
          </w:tcPr>
          <w:p w14:paraId="0C3C531B" w14:textId="77777777" w:rsidR="008B5AB4" w:rsidRDefault="008B5AB4">
            <w:pPr>
              <w:jc w:val="both"/>
              <w:rPr>
                <w:lang w:val="en-GB"/>
              </w:rPr>
            </w:pPr>
            <w:r>
              <w:rPr>
                <w:lang w:val="en-GB"/>
              </w:rPr>
              <w:t>0.08</w:t>
            </w:r>
          </w:p>
        </w:tc>
        <w:tc>
          <w:tcPr>
            <w:tcW w:w="2659" w:type="dxa"/>
          </w:tcPr>
          <w:p w14:paraId="014CF679" w14:textId="77777777" w:rsidR="008B5AB4" w:rsidRDefault="008B5AB4">
            <w:pPr>
              <w:jc w:val="both"/>
              <w:rPr>
                <w:lang w:val="en-GB"/>
              </w:rPr>
            </w:pPr>
            <w:r>
              <w:rPr>
                <w:lang w:val="en-GB"/>
              </w:rPr>
              <w:t>2.0*0.08 = 0.16 mg/kg</w:t>
            </w:r>
          </w:p>
          <w:p w14:paraId="00983443" w14:textId="77777777" w:rsidR="008B5AB4" w:rsidRDefault="008B5AB4">
            <w:pPr>
              <w:jc w:val="both"/>
              <w:rPr>
                <w:lang w:val="en-GB"/>
              </w:rPr>
            </w:pPr>
          </w:p>
          <w:p w14:paraId="6A199993" w14:textId="77777777" w:rsidR="008B5AB4" w:rsidRDefault="008B5AB4">
            <w:pPr>
              <w:jc w:val="both"/>
              <w:rPr>
                <w:lang w:val="en-GB"/>
              </w:rPr>
            </w:pPr>
          </w:p>
        </w:tc>
        <w:tc>
          <w:tcPr>
            <w:tcW w:w="2806" w:type="dxa"/>
            <w:hideMark/>
          </w:tcPr>
          <w:p w14:paraId="73257A52" w14:textId="77777777" w:rsidR="008B5AB4" w:rsidRDefault="008B5AB4">
            <w:pPr>
              <w:jc w:val="both"/>
              <w:rPr>
                <w:lang w:val="en-GB"/>
              </w:rPr>
            </w:pPr>
            <w:r>
              <w:rPr>
                <w:lang w:val="en-GB"/>
              </w:rPr>
              <w:t xml:space="preserve">A level of 0.36 ± 0.18 mg/kg boscalid in apple juice (clarified, pasteurised) is </w:t>
            </w:r>
            <w:r>
              <w:rPr>
                <w:b/>
                <w:lang w:val="en-GB"/>
              </w:rPr>
              <w:t>not compliant.</w:t>
            </w:r>
          </w:p>
        </w:tc>
      </w:tr>
      <w:tr w:rsidR="00F83EE0" w14:paraId="6BD5175F" w14:textId="77777777" w:rsidTr="008B5AB4">
        <w:tc>
          <w:tcPr>
            <w:tcW w:w="1775" w:type="dxa"/>
            <w:hideMark/>
          </w:tcPr>
          <w:p w14:paraId="4B58AC3C" w14:textId="77777777" w:rsidR="008B5AB4" w:rsidRDefault="008B5AB4">
            <w:pPr>
              <w:jc w:val="both"/>
              <w:rPr>
                <w:b/>
                <w:lang w:val="en-GB"/>
              </w:rPr>
            </w:pPr>
            <w:r>
              <w:rPr>
                <w:b/>
              </w:rPr>
              <w:t xml:space="preserve">0.74 ± 0.37 mg/kg </w:t>
            </w:r>
            <w:r>
              <w:rPr>
                <w:b/>
                <w:lang w:val="en-GB"/>
              </w:rPr>
              <w:t>lambda-cyhalothrin in olive oil</w:t>
            </w:r>
          </w:p>
        </w:tc>
        <w:tc>
          <w:tcPr>
            <w:tcW w:w="1390" w:type="dxa"/>
            <w:hideMark/>
          </w:tcPr>
          <w:p w14:paraId="23D44673" w14:textId="77777777" w:rsidR="008B5AB4" w:rsidRDefault="008B5AB4">
            <w:pPr>
              <w:jc w:val="both"/>
              <w:rPr>
                <w:lang w:val="en-GB"/>
              </w:rPr>
            </w:pPr>
            <w:r>
              <w:rPr>
                <w:lang w:val="en-GB"/>
              </w:rPr>
              <w:t>0.5 mg/kg in olives for oil production</w:t>
            </w:r>
          </w:p>
        </w:tc>
        <w:tc>
          <w:tcPr>
            <w:tcW w:w="976" w:type="dxa"/>
            <w:hideMark/>
          </w:tcPr>
          <w:p w14:paraId="219F7CA6" w14:textId="77777777" w:rsidR="008B5AB4" w:rsidRDefault="008B5AB4">
            <w:pPr>
              <w:jc w:val="both"/>
              <w:rPr>
                <w:lang w:val="en-GB"/>
              </w:rPr>
            </w:pPr>
            <w:r>
              <w:rPr>
                <w:lang w:val="en-GB"/>
              </w:rPr>
              <w:t>Median Pf=0.81</w:t>
            </w:r>
          </w:p>
        </w:tc>
        <w:tc>
          <w:tcPr>
            <w:tcW w:w="2659" w:type="dxa"/>
          </w:tcPr>
          <w:p w14:paraId="7E7DC218" w14:textId="77777777" w:rsidR="008B5AB4" w:rsidRDefault="008B5AB4">
            <w:pPr>
              <w:jc w:val="both"/>
              <w:rPr>
                <w:lang w:val="en-GB"/>
              </w:rPr>
            </w:pPr>
            <w:r>
              <w:rPr>
                <w:lang w:val="en-GB"/>
              </w:rPr>
              <w:t>0.5*0.81 = 0.41 mg/kg</w:t>
            </w:r>
          </w:p>
          <w:p w14:paraId="398C1219" w14:textId="77777777" w:rsidR="008B5AB4" w:rsidRDefault="008B5AB4">
            <w:pPr>
              <w:jc w:val="both"/>
              <w:rPr>
                <w:lang w:val="en-GB"/>
              </w:rPr>
            </w:pPr>
          </w:p>
        </w:tc>
        <w:tc>
          <w:tcPr>
            <w:tcW w:w="2806" w:type="dxa"/>
            <w:hideMark/>
          </w:tcPr>
          <w:p w14:paraId="4D9F1AD4" w14:textId="438DA9D8" w:rsidR="008B5AB4" w:rsidRDefault="008B5AB4">
            <w:pPr>
              <w:jc w:val="both"/>
              <w:rPr>
                <w:lang w:val="en-GB"/>
              </w:rPr>
            </w:pPr>
            <w:r>
              <w:rPr>
                <w:lang w:val="en-GB"/>
              </w:rPr>
              <w:t>A level of 0.74 ± 0.37 mg/kg of lambda-cyhalothrin in olive oil is compliant.</w:t>
            </w:r>
          </w:p>
        </w:tc>
      </w:tr>
      <w:tr w:rsidR="00F83EE0" w14:paraId="71C8C270" w14:textId="77777777" w:rsidTr="008B5AB4">
        <w:tc>
          <w:tcPr>
            <w:tcW w:w="1775" w:type="dxa"/>
            <w:hideMark/>
          </w:tcPr>
          <w:p w14:paraId="68EE87FA" w14:textId="77777777" w:rsidR="008B5AB4" w:rsidRDefault="008B5AB4">
            <w:pPr>
              <w:jc w:val="both"/>
              <w:rPr>
                <w:b/>
                <w:lang w:val="en-GB"/>
              </w:rPr>
            </w:pPr>
            <w:r>
              <w:rPr>
                <w:b/>
              </w:rPr>
              <w:t xml:space="preserve">1.4 ± 0.7 mg/kg </w:t>
            </w:r>
            <w:r>
              <w:rPr>
                <w:b/>
                <w:lang w:val="en-GB"/>
              </w:rPr>
              <w:t>boscalid in soybean meal, extracted</w:t>
            </w:r>
          </w:p>
        </w:tc>
        <w:tc>
          <w:tcPr>
            <w:tcW w:w="1390" w:type="dxa"/>
            <w:hideMark/>
          </w:tcPr>
          <w:p w14:paraId="21E37463" w14:textId="77777777" w:rsidR="008B5AB4" w:rsidRDefault="008B5AB4">
            <w:pPr>
              <w:jc w:val="both"/>
              <w:rPr>
                <w:lang w:val="en-GB"/>
              </w:rPr>
            </w:pPr>
            <w:r>
              <w:rPr>
                <w:lang w:val="en-GB"/>
              </w:rPr>
              <w:t>3.0 mg/kg in soybeans</w:t>
            </w:r>
          </w:p>
        </w:tc>
        <w:tc>
          <w:tcPr>
            <w:tcW w:w="976" w:type="dxa"/>
            <w:hideMark/>
          </w:tcPr>
          <w:p w14:paraId="2DF4C964" w14:textId="77777777" w:rsidR="008B5AB4" w:rsidRDefault="008B5AB4">
            <w:pPr>
              <w:jc w:val="both"/>
              <w:rPr>
                <w:lang w:val="en-GB"/>
              </w:rPr>
            </w:pPr>
            <w:r>
              <w:rPr>
                <w:lang w:val="en-GB"/>
              </w:rPr>
              <w:t>&lt; 0.17</w:t>
            </w:r>
          </w:p>
        </w:tc>
        <w:tc>
          <w:tcPr>
            <w:tcW w:w="2659" w:type="dxa"/>
            <w:hideMark/>
          </w:tcPr>
          <w:p w14:paraId="22DEC97C" w14:textId="77777777" w:rsidR="008B5AB4" w:rsidRDefault="008B5AB4">
            <w:pPr>
              <w:jc w:val="both"/>
              <w:rPr>
                <w:lang w:val="en-GB"/>
              </w:rPr>
            </w:pPr>
            <w:r>
              <w:rPr>
                <w:lang w:val="en-GB"/>
              </w:rPr>
              <w:t>3.0* (&lt; 0.17) = &lt; 0.51 mg/kg</w:t>
            </w:r>
          </w:p>
        </w:tc>
        <w:tc>
          <w:tcPr>
            <w:tcW w:w="2806" w:type="dxa"/>
            <w:hideMark/>
          </w:tcPr>
          <w:p w14:paraId="57E470D0" w14:textId="704DC484" w:rsidR="008B5AB4" w:rsidRDefault="008B5AB4" w:rsidP="008B5AB4">
            <w:pPr>
              <w:jc w:val="both"/>
              <w:rPr>
                <w:lang w:val="en-GB"/>
              </w:rPr>
            </w:pPr>
            <w:r>
              <w:rPr>
                <w:lang w:val="en-GB"/>
              </w:rPr>
              <w:t xml:space="preserve">A level of </w:t>
            </w:r>
            <w:r>
              <w:t>1.4 ± 0.7 mg/kg</w:t>
            </w:r>
            <w:r>
              <w:rPr>
                <w:b/>
              </w:rPr>
              <w:t xml:space="preserve"> </w:t>
            </w:r>
            <w:r>
              <w:rPr>
                <w:lang w:val="en-GB"/>
              </w:rPr>
              <w:t xml:space="preserve">boscalid in soybean meal is </w:t>
            </w:r>
            <w:r>
              <w:rPr>
                <w:b/>
                <w:lang w:val="en-GB"/>
              </w:rPr>
              <w:t>not compliant.</w:t>
            </w:r>
          </w:p>
        </w:tc>
      </w:tr>
    </w:tbl>
    <w:p w14:paraId="74040039" w14:textId="427E8AB3" w:rsidR="00CC4AA4" w:rsidRDefault="00CC4AA4" w:rsidP="00CC4AA4">
      <w:pPr>
        <w:pStyle w:val="ListParagraph"/>
        <w:spacing w:after="100" w:afterAutospacing="1"/>
        <w:ind w:left="785"/>
        <w:rPr>
          <w:rFonts w:ascii="Times New Roman" w:eastAsia="Times New Roman" w:hAnsi="Times New Roman" w:cs="Times New Roman"/>
          <w:b/>
          <w:caps/>
          <w:sz w:val="24"/>
          <w:szCs w:val="20"/>
          <w:lang w:val="en-IE" w:eastAsia="en-GB"/>
        </w:rPr>
      </w:pPr>
    </w:p>
    <w:p w14:paraId="0B9BCC2C" w14:textId="74DF0EFE" w:rsidR="00CC4AA4" w:rsidRDefault="00CC4AA4" w:rsidP="00CC4AA4">
      <w:pPr>
        <w:pStyle w:val="ListParagraph"/>
        <w:spacing w:after="100" w:afterAutospacing="1"/>
        <w:ind w:left="785"/>
        <w:rPr>
          <w:rFonts w:ascii="Times New Roman" w:eastAsia="Times New Roman" w:hAnsi="Times New Roman" w:cs="Times New Roman"/>
          <w:b/>
          <w:caps/>
          <w:sz w:val="24"/>
          <w:szCs w:val="20"/>
          <w:lang w:val="en-IE" w:eastAsia="en-GB"/>
        </w:rPr>
      </w:pPr>
      <w:r>
        <w:rPr>
          <w:rFonts w:ascii="Times New Roman" w:eastAsia="Times New Roman" w:hAnsi="Times New Roman" w:cs="Times New Roman"/>
          <w:b/>
          <w:caps/>
          <w:sz w:val="24"/>
          <w:szCs w:val="20"/>
          <w:lang w:val="en-IE" w:eastAsia="en-GB"/>
        </w:rPr>
        <w:t>7.2</w:t>
      </w:r>
      <w:r>
        <w:rPr>
          <w:rFonts w:ascii="Times New Roman" w:eastAsia="Times New Roman" w:hAnsi="Times New Roman" w:cs="Times New Roman"/>
          <w:b/>
          <w:caps/>
          <w:sz w:val="24"/>
          <w:szCs w:val="20"/>
          <w:lang w:val="en-IE" w:eastAsia="en-GB"/>
        </w:rPr>
        <w:tab/>
        <w:t>COMPOSITE FOODS</w:t>
      </w:r>
    </w:p>
    <w:p w14:paraId="2C4F1F82" w14:textId="3AC2AA89" w:rsidR="00CC4AA4" w:rsidRDefault="000C39D0" w:rsidP="00CC4AA4">
      <w:pPr>
        <w:spacing w:before="120" w:after="120"/>
        <w:jc w:val="both"/>
        <w:rPr>
          <w:lang w:val="en-GB"/>
        </w:rPr>
      </w:pPr>
      <w:r w:rsidRPr="006C6ED1">
        <w:rPr>
          <w:lang w:val="en-GB"/>
        </w:rPr>
        <w:t>If, at a later stage, more detailed guidance as regards composite foods is needed, calculation examples will be presented in this chapter. For the way to calculate MRLs for composite products, please see chapter 5.</w:t>
      </w:r>
    </w:p>
    <w:p w14:paraId="3B25D54F" w14:textId="6EE63F88" w:rsidR="00CC4AA4" w:rsidRDefault="00CC4AA4" w:rsidP="00CC4AA4">
      <w:pPr>
        <w:spacing w:before="120" w:after="120"/>
        <w:jc w:val="both"/>
        <w:rPr>
          <w:lang w:val="en-GB"/>
        </w:rPr>
      </w:pPr>
    </w:p>
    <w:p w14:paraId="12203A92" w14:textId="77904F31" w:rsidR="003C7E4E" w:rsidRDefault="003C7E4E" w:rsidP="00CC4AA4">
      <w:pPr>
        <w:spacing w:before="120" w:after="120"/>
        <w:jc w:val="both"/>
        <w:rPr>
          <w:lang w:val="en-GB"/>
        </w:rPr>
      </w:pPr>
    </w:p>
    <w:p w14:paraId="763B14E4" w14:textId="4867F3E6" w:rsidR="003C7E4E" w:rsidRDefault="003C7E4E" w:rsidP="00CC4AA4">
      <w:pPr>
        <w:spacing w:before="120" w:after="120"/>
        <w:jc w:val="both"/>
        <w:rPr>
          <w:lang w:val="en-GB"/>
        </w:rPr>
      </w:pPr>
    </w:p>
    <w:p w14:paraId="5704AAE6" w14:textId="133A65CF" w:rsidR="003C7E4E" w:rsidRDefault="003C7E4E" w:rsidP="00CC4AA4">
      <w:pPr>
        <w:spacing w:before="120" w:after="120"/>
        <w:jc w:val="both"/>
        <w:rPr>
          <w:lang w:val="en-GB"/>
        </w:rPr>
      </w:pPr>
    </w:p>
    <w:p w14:paraId="42606AE0" w14:textId="12BB8C32" w:rsidR="003C7E4E" w:rsidRDefault="003C7E4E" w:rsidP="00CC4AA4">
      <w:pPr>
        <w:spacing w:before="120" w:after="120"/>
        <w:jc w:val="both"/>
        <w:rPr>
          <w:lang w:val="en-GB"/>
        </w:rPr>
      </w:pPr>
    </w:p>
    <w:p w14:paraId="3FFE1116" w14:textId="4A604538" w:rsidR="003C7E4E" w:rsidRDefault="003C7E4E" w:rsidP="00CC4AA4">
      <w:pPr>
        <w:spacing w:before="120" w:after="120"/>
        <w:jc w:val="both"/>
        <w:rPr>
          <w:lang w:val="en-GB"/>
        </w:rPr>
      </w:pPr>
    </w:p>
    <w:p w14:paraId="6A4C63DC" w14:textId="35FC522A" w:rsidR="006C6ED1" w:rsidRDefault="006C6ED1" w:rsidP="00CC4AA4">
      <w:pPr>
        <w:spacing w:before="120" w:after="120"/>
        <w:jc w:val="both"/>
        <w:rPr>
          <w:lang w:val="en-GB"/>
        </w:rPr>
      </w:pPr>
    </w:p>
    <w:p w14:paraId="2BE8EF79" w14:textId="77777777" w:rsidR="006C6ED1" w:rsidRPr="00CC4AA4" w:rsidRDefault="006C6ED1" w:rsidP="00CC4AA4">
      <w:pPr>
        <w:spacing w:before="120" w:after="120"/>
        <w:jc w:val="both"/>
        <w:rPr>
          <w:lang w:val="en-GB"/>
        </w:rPr>
      </w:pPr>
    </w:p>
    <w:p w14:paraId="5695A13C" w14:textId="3D109C8A" w:rsidR="00D71E84" w:rsidRPr="009D4FC5" w:rsidRDefault="00451F02" w:rsidP="00E47D36">
      <w:pPr>
        <w:pStyle w:val="ListParagraph"/>
        <w:numPr>
          <w:ilvl w:val="0"/>
          <w:numId w:val="6"/>
        </w:numPr>
        <w:spacing w:after="100" w:afterAutospacing="1"/>
        <w:rPr>
          <w:rFonts w:ascii="Times New Roman" w:eastAsia="Times New Roman" w:hAnsi="Times New Roman" w:cs="Times New Roman"/>
          <w:b/>
          <w:caps/>
          <w:sz w:val="24"/>
          <w:szCs w:val="20"/>
          <w:lang w:val="en-IE" w:eastAsia="en-GB"/>
        </w:rPr>
      </w:pPr>
      <w:r>
        <w:rPr>
          <w:rFonts w:ascii="Times New Roman" w:eastAsia="Times New Roman" w:hAnsi="Times New Roman" w:cs="Times New Roman"/>
          <w:b/>
          <w:caps/>
          <w:sz w:val="24"/>
          <w:szCs w:val="20"/>
          <w:lang w:val="en-IE" w:eastAsia="en-GB"/>
        </w:rPr>
        <w:lastRenderedPageBreak/>
        <w:t>Literature</w:t>
      </w:r>
    </w:p>
    <w:p w14:paraId="455769C4" w14:textId="77777777" w:rsidR="00A935DE" w:rsidRPr="00FD3505" w:rsidRDefault="00A935DE" w:rsidP="00FD3505">
      <w:pPr>
        <w:pStyle w:val="ListParagraph"/>
        <w:numPr>
          <w:ilvl w:val="0"/>
          <w:numId w:val="12"/>
        </w:numPr>
        <w:rPr>
          <w:lang w:val="en-GB"/>
        </w:rPr>
      </w:pPr>
      <w:r w:rsidRPr="00FD3505">
        <w:rPr>
          <w:lang w:val="en-GB"/>
        </w:rPr>
        <w:t xml:space="preserve">European database of processing factors for pesticides in food </w:t>
      </w:r>
    </w:p>
    <w:p w14:paraId="45815E6B" w14:textId="4BD64111" w:rsidR="00A935DE" w:rsidRDefault="003B36DE" w:rsidP="00FD3505">
      <w:pPr>
        <w:pStyle w:val="ListParagraph"/>
        <w:spacing w:after="120"/>
        <w:rPr>
          <w:rStyle w:val="Hyperlink"/>
        </w:rPr>
      </w:pPr>
      <w:hyperlink r:id="rId21" w:history="1">
        <w:r w:rsidR="00A935DE" w:rsidRPr="00FD3505">
          <w:rPr>
            <w:rStyle w:val="Hyperlink"/>
            <w:lang w:val="en-GB"/>
          </w:rPr>
          <w:t>https://zenodo.org/record/1488653</w:t>
        </w:r>
      </w:hyperlink>
      <w:r w:rsidR="00A935DE" w:rsidRPr="003C618B">
        <w:rPr>
          <w:rStyle w:val="Hyperlink"/>
        </w:rPr>
        <w:t xml:space="preserve"> </w:t>
      </w:r>
    </w:p>
    <w:p w14:paraId="0F0FFD06" w14:textId="77777777" w:rsidR="00021BC8" w:rsidRPr="00FD3505" w:rsidRDefault="00021BC8" w:rsidP="00FD3505">
      <w:pPr>
        <w:pStyle w:val="ListParagraph"/>
        <w:numPr>
          <w:ilvl w:val="0"/>
          <w:numId w:val="12"/>
        </w:numPr>
        <w:rPr>
          <w:lang w:val="en-GB"/>
        </w:rPr>
      </w:pPr>
      <w:r w:rsidRPr="00FD3505">
        <w:rPr>
          <w:lang w:val="en-GB"/>
        </w:rPr>
        <w:t>Database of processing techniques and processing factors compatible with the EFSA food classification and description system FoodEx 2 Objective 1: Compendium of Representative Processing Techniques investigated in regulatory studies for pesticides</w:t>
      </w:r>
    </w:p>
    <w:p w14:paraId="5ABB3AD4" w14:textId="26472C6D" w:rsidR="00021BC8" w:rsidRPr="00FD3505" w:rsidRDefault="003B36DE" w:rsidP="00FD3505">
      <w:pPr>
        <w:pStyle w:val="ListParagraph"/>
        <w:spacing w:after="120"/>
        <w:rPr>
          <w:lang w:val="en-GB"/>
        </w:rPr>
      </w:pPr>
      <w:hyperlink r:id="rId22" w:history="1">
        <w:r w:rsidR="00021BC8" w:rsidRPr="00FD3505">
          <w:rPr>
            <w:rStyle w:val="Hyperlink"/>
            <w:lang w:val="en-GB"/>
          </w:rPr>
          <w:t>https://efsa.onlinelibrary.wiley.com/doi/epdf/10.2903/sp.efsa.2018.EN-1508</w:t>
        </w:r>
      </w:hyperlink>
    </w:p>
    <w:p w14:paraId="5BCCB799" w14:textId="77777777" w:rsidR="00021BC8" w:rsidRPr="00FD3505" w:rsidRDefault="00021BC8" w:rsidP="00FD3505">
      <w:pPr>
        <w:pStyle w:val="ListParagraph"/>
        <w:numPr>
          <w:ilvl w:val="0"/>
          <w:numId w:val="12"/>
        </w:numPr>
        <w:rPr>
          <w:lang w:val="en-GB"/>
        </w:rPr>
      </w:pPr>
      <w:r w:rsidRPr="00FD3505">
        <w:rPr>
          <w:lang w:val="en-GB"/>
        </w:rPr>
        <w:t>Database of processing techniques and processing factors compatible with the EFSA food classification and description system FoodEx2 related to pesticide residues Objective 2: Linking the processing techniques investigated in regulatory studies with the EFSA food classification and description system FoodEx2</w:t>
      </w:r>
    </w:p>
    <w:p w14:paraId="074351FD" w14:textId="5D013308" w:rsidR="00021BC8" w:rsidRPr="00FD3505" w:rsidRDefault="003B36DE" w:rsidP="00FD3505">
      <w:pPr>
        <w:pStyle w:val="ListParagraph"/>
        <w:spacing w:after="120"/>
        <w:rPr>
          <w:lang w:val="en-GB"/>
        </w:rPr>
      </w:pPr>
      <w:hyperlink r:id="rId23" w:history="1">
        <w:r w:rsidR="00021BC8" w:rsidRPr="00FD3505">
          <w:rPr>
            <w:rStyle w:val="Hyperlink"/>
            <w:lang w:val="en-GB"/>
          </w:rPr>
          <w:t>https://efsa.onlinelibrary.wiley.com/doi/abs/10.2903/sp.efsa.2018.EN-1509</w:t>
        </w:r>
      </w:hyperlink>
      <w:r w:rsidR="00021BC8" w:rsidRPr="00FD3505">
        <w:rPr>
          <w:lang w:val="en-GB"/>
        </w:rPr>
        <w:t xml:space="preserve"> </w:t>
      </w:r>
    </w:p>
    <w:p w14:paraId="3CACFA21" w14:textId="77777777" w:rsidR="00021BC8" w:rsidRPr="00FD3505" w:rsidRDefault="00021BC8" w:rsidP="00FD3505">
      <w:pPr>
        <w:pStyle w:val="ListParagraph"/>
        <w:numPr>
          <w:ilvl w:val="0"/>
          <w:numId w:val="12"/>
        </w:numPr>
        <w:rPr>
          <w:lang w:val="en-GB"/>
        </w:rPr>
      </w:pPr>
      <w:r w:rsidRPr="00FD3505">
        <w:rPr>
          <w:lang w:val="en-GB"/>
        </w:rPr>
        <w:t>Database of processing techniques and processing factors compatible with the EFSA food classification and description system FoodEx 2 Objective 3: European database of processing factors for pesticides in food</w:t>
      </w:r>
    </w:p>
    <w:p w14:paraId="6F8A0954" w14:textId="21A0DEFF" w:rsidR="00021BC8" w:rsidRPr="00FD3505" w:rsidRDefault="003B36DE" w:rsidP="00FD3505">
      <w:pPr>
        <w:pStyle w:val="ListParagraph"/>
        <w:spacing w:after="120"/>
        <w:rPr>
          <w:lang w:val="en-GB"/>
        </w:rPr>
      </w:pPr>
      <w:hyperlink r:id="rId24" w:history="1">
        <w:r w:rsidR="00021BC8" w:rsidRPr="00FD3505">
          <w:rPr>
            <w:rStyle w:val="Hyperlink"/>
            <w:lang w:val="en-GB"/>
          </w:rPr>
          <w:t>https://efsa.onlinelibrary.wiley.com/doi/epdf/10.2903/sp.efsa.2018.EN-1510</w:t>
        </w:r>
      </w:hyperlink>
    </w:p>
    <w:p w14:paraId="1D94CB89" w14:textId="77777777" w:rsidR="003C618B" w:rsidRPr="00FD3505" w:rsidRDefault="003C618B" w:rsidP="00FD3505">
      <w:pPr>
        <w:pStyle w:val="ListParagraph"/>
        <w:numPr>
          <w:ilvl w:val="0"/>
          <w:numId w:val="12"/>
        </w:numPr>
        <w:spacing w:after="120"/>
        <w:rPr>
          <w:lang w:val="en-GB"/>
        </w:rPr>
      </w:pPr>
      <w:r w:rsidRPr="00FD3505">
        <w:rPr>
          <w:lang w:val="en-GB"/>
        </w:rPr>
        <w:t xml:space="preserve">List of processing factors to evaluate pesticides residues measured in the Netherlands </w:t>
      </w:r>
      <w:hyperlink r:id="rId25" w:history="1">
        <w:r w:rsidRPr="00FD3505">
          <w:rPr>
            <w:rStyle w:val="Hyperlink"/>
            <w:lang w:val="en-GB"/>
          </w:rPr>
          <w:t>https://www.rivm.nl/en/chemkap/fruit-and-vegetables/processing-factors</w:t>
        </w:r>
      </w:hyperlink>
    </w:p>
    <w:p w14:paraId="70510F86" w14:textId="77777777" w:rsidR="003C618B" w:rsidRPr="00FD3505" w:rsidRDefault="00A935DE" w:rsidP="00FD3505">
      <w:pPr>
        <w:pStyle w:val="ListParagraph"/>
        <w:numPr>
          <w:ilvl w:val="0"/>
          <w:numId w:val="12"/>
        </w:numPr>
        <w:rPr>
          <w:lang w:val="en-GB"/>
        </w:rPr>
      </w:pPr>
      <w:r w:rsidRPr="00FD3505">
        <w:rPr>
          <w:lang w:val="en-GB"/>
        </w:rPr>
        <w:t>The German Federal Institute for Risk Assessment</w:t>
      </w:r>
      <w:r w:rsidR="003C618B" w:rsidRPr="00FD3505">
        <w:rPr>
          <w:lang w:val="en-GB"/>
        </w:rPr>
        <w:t xml:space="preserve"> data collection on processing factors</w:t>
      </w:r>
    </w:p>
    <w:p w14:paraId="14480471" w14:textId="6907E3A8" w:rsidR="003C618B" w:rsidRDefault="003B36DE" w:rsidP="00FD3505">
      <w:pPr>
        <w:pStyle w:val="ListParagraph"/>
        <w:spacing w:after="120"/>
        <w:rPr>
          <w:lang w:val="en-GB"/>
        </w:rPr>
      </w:pPr>
      <w:hyperlink r:id="rId26" w:history="1">
        <w:r w:rsidR="003C618B" w:rsidRPr="00FD3505">
          <w:rPr>
            <w:rStyle w:val="Hyperlink"/>
            <w:lang w:val="en-GB"/>
          </w:rPr>
          <w:t>https://www.bfr.bund.de/cm/349/bfr-data-collection-on-processing-factors.pdf</w:t>
        </w:r>
      </w:hyperlink>
    </w:p>
    <w:p w14:paraId="244EED41" w14:textId="77777777" w:rsidR="00594F87" w:rsidRDefault="00A935DE" w:rsidP="00594F87">
      <w:pPr>
        <w:pStyle w:val="ListParagraph"/>
        <w:numPr>
          <w:ilvl w:val="0"/>
          <w:numId w:val="12"/>
        </w:numPr>
        <w:ind w:left="714" w:hanging="357"/>
        <w:rPr>
          <w:lang w:val="en-GB"/>
        </w:rPr>
      </w:pPr>
      <w:r w:rsidRPr="00FD3505">
        <w:rPr>
          <w:lang w:val="en-GB"/>
        </w:rPr>
        <w:t xml:space="preserve">The German Federal Institute for Risk Assessment </w:t>
      </w:r>
      <w:r w:rsidR="003141F5" w:rsidRPr="00FD3505">
        <w:rPr>
          <w:lang w:val="en-GB"/>
        </w:rPr>
        <w:t>c</w:t>
      </w:r>
      <w:r w:rsidR="003C618B" w:rsidRPr="00FD3505">
        <w:rPr>
          <w:lang w:val="en-GB"/>
        </w:rPr>
        <w:t xml:space="preserve">ompilation of </w:t>
      </w:r>
      <w:r w:rsidR="00DD5E3E">
        <w:rPr>
          <w:lang w:val="en-GB"/>
        </w:rPr>
        <w:t>p</w:t>
      </w:r>
      <w:r w:rsidR="003C618B" w:rsidRPr="00FD3505">
        <w:rPr>
          <w:lang w:val="en-GB"/>
        </w:rPr>
        <w:t xml:space="preserve">rocessing </w:t>
      </w:r>
      <w:r w:rsidR="00DD5E3E">
        <w:rPr>
          <w:lang w:val="en-GB"/>
        </w:rPr>
        <w:t>f</w:t>
      </w:r>
      <w:r w:rsidR="003C618B" w:rsidRPr="00FD3505">
        <w:rPr>
          <w:lang w:val="en-GB"/>
        </w:rPr>
        <w:t>actors and Evaluat</w:t>
      </w:r>
      <w:r w:rsidR="00025AF6" w:rsidRPr="00FD3505">
        <w:rPr>
          <w:lang w:val="en-GB"/>
        </w:rPr>
        <w:t xml:space="preserve">ion of Quality Controlled Data </w:t>
      </w:r>
      <w:r w:rsidR="003C618B" w:rsidRPr="00FD3505">
        <w:rPr>
          <w:lang w:val="en-GB"/>
        </w:rPr>
        <w:t>of Food Processing Studies</w:t>
      </w:r>
    </w:p>
    <w:p w14:paraId="10F5AC35" w14:textId="5788E78D" w:rsidR="00DD5E3E" w:rsidRPr="00DD5E3E" w:rsidRDefault="003B36DE" w:rsidP="00DD5E3E">
      <w:pPr>
        <w:pStyle w:val="ListParagraph"/>
        <w:rPr>
          <w:lang w:val="en-GB"/>
        </w:rPr>
      </w:pPr>
      <w:hyperlink r:id="rId27" w:history="1">
        <w:r w:rsidR="00DD5E3E" w:rsidRPr="00594F87">
          <w:rPr>
            <w:rStyle w:val="Hyperlink"/>
            <w:lang w:val="en-GB"/>
          </w:rPr>
          <w:t>https://www.bfr.bund.de/cm/349/bfr-compilation-of-processing-factors.xlsx</w:t>
        </w:r>
      </w:hyperlink>
      <w:r w:rsidR="00DD5E3E" w:rsidRPr="00594F87">
        <w:rPr>
          <w:lang w:val="en-GB"/>
        </w:rPr>
        <w:t xml:space="preserve"> </w:t>
      </w:r>
    </w:p>
    <w:p w14:paraId="68AE9269" w14:textId="77777777" w:rsidR="00890AEB" w:rsidRDefault="00DD5E3E" w:rsidP="00FD3505">
      <w:pPr>
        <w:pStyle w:val="ListParagraph"/>
        <w:numPr>
          <w:ilvl w:val="0"/>
          <w:numId w:val="12"/>
        </w:numPr>
        <w:spacing w:after="120"/>
        <w:rPr>
          <w:lang w:val="en-GB"/>
        </w:rPr>
      </w:pPr>
      <w:r w:rsidRPr="00C73117">
        <w:rPr>
          <w:lang w:val="en-GB"/>
        </w:rPr>
        <w:t>Spanish Agency for Food Safety and Nutrition</w:t>
      </w:r>
      <w:r>
        <w:rPr>
          <w:lang w:val="en-GB"/>
        </w:rPr>
        <w:t xml:space="preserve"> (AESAN) list of processing factor</w:t>
      </w:r>
      <w:r w:rsidRPr="00C73117">
        <w:rPr>
          <w:lang w:val="en-GB"/>
        </w:rPr>
        <w:t xml:space="preserve"> </w:t>
      </w:r>
      <w:hyperlink r:id="rId28" w:history="1">
        <w:r w:rsidR="007C115B" w:rsidRPr="00C54243">
          <w:rPr>
            <w:rStyle w:val="Hyperlink"/>
            <w:lang w:val="en-GB"/>
          </w:rPr>
          <w:t>https://www.aesan.gob.es/AECOSAN/docs/documentos/seguridad_alimentaria/gestion_riesgos/LMR_en_alimentos_transformados.pdf</w:t>
        </w:r>
      </w:hyperlink>
    </w:p>
    <w:p w14:paraId="0AF85F2E" w14:textId="68FC9683" w:rsidR="00DD5E3E" w:rsidRDefault="00890AEB" w:rsidP="00890AEB">
      <w:pPr>
        <w:pStyle w:val="ListParagraph"/>
        <w:numPr>
          <w:ilvl w:val="0"/>
          <w:numId w:val="12"/>
        </w:numPr>
        <w:rPr>
          <w:lang w:val="en-GB"/>
        </w:rPr>
      </w:pPr>
      <w:r w:rsidRPr="00890AEB">
        <w:rPr>
          <w:lang w:val="en-GB"/>
        </w:rPr>
        <w:t>Join</w:t>
      </w:r>
      <w:r>
        <w:rPr>
          <w:lang w:val="en-GB"/>
        </w:rPr>
        <w:t>t Meeting on Pesticide Residues (J</w:t>
      </w:r>
      <w:r w:rsidRPr="00890AEB">
        <w:rPr>
          <w:lang w:val="en-GB"/>
        </w:rPr>
        <w:t>MPR</w:t>
      </w:r>
      <w:r>
        <w:rPr>
          <w:lang w:val="en-GB"/>
        </w:rPr>
        <w:t>)</w:t>
      </w:r>
      <w:r w:rsidRPr="00890AEB">
        <w:rPr>
          <w:lang w:val="en-GB"/>
        </w:rPr>
        <w:t xml:space="preserve"> Reports and evaluations</w:t>
      </w:r>
      <w:r>
        <w:rPr>
          <w:lang w:val="en-GB"/>
        </w:rPr>
        <w:t xml:space="preserve"> </w:t>
      </w:r>
    </w:p>
    <w:p w14:paraId="0CC10099" w14:textId="77777777" w:rsidR="00453537" w:rsidRPr="00453537" w:rsidRDefault="003B36DE" w:rsidP="00453537">
      <w:pPr>
        <w:pStyle w:val="ListParagraph"/>
        <w:rPr>
          <w:lang w:val="en-GB"/>
        </w:rPr>
      </w:pPr>
      <w:hyperlink r:id="rId29" w:history="1">
        <w:r w:rsidR="00453537" w:rsidRPr="00453537">
          <w:rPr>
            <w:rStyle w:val="Hyperlink"/>
            <w:lang w:val="en-GB"/>
          </w:rPr>
          <w:t>http://www.fao.org/agriculture/crops/core-themes/theme/pests/jmpr/jmpr-rep/en/</w:t>
        </w:r>
      </w:hyperlink>
      <w:r w:rsidR="00453537" w:rsidRPr="00453537">
        <w:rPr>
          <w:lang w:val="en-GB"/>
        </w:rPr>
        <w:t xml:space="preserve"> </w:t>
      </w:r>
    </w:p>
    <w:p w14:paraId="2D321FFE" w14:textId="4A73930B" w:rsidR="00607787" w:rsidRDefault="00607787" w:rsidP="00607787">
      <w:pPr>
        <w:pStyle w:val="ListParagraph"/>
        <w:numPr>
          <w:ilvl w:val="0"/>
          <w:numId w:val="12"/>
        </w:numPr>
        <w:rPr>
          <w:lang w:val="en-GB"/>
        </w:rPr>
      </w:pPr>
      <w:r>
        <w:rPr>
          <w:lang w:val="en-GB"/>
        </w:rPr>
        <w:t xml:space="preserve">OECD Guideline for testing of Chemicals, </w:t>
      </w:r>
      <w:r w:rsidR="00453537" w:rsidRPr="00453537">
        <w:rPr>
          <w:lang w:val="en-GB"/>
        </w:rPr>
        <w:t>Test No. 508: Magnitude of the Pesticide Residues in Processed Commodities</w:t>
      </w:r>
    </w:p>
    <w:p w14:paraId="3BAEFE00" w14:textId="77777777" w:rsidR="00607787" w:rsidRDefault="003B36DE" w:rsidP="00607787">
      <w:pPr>
        <w:pStyle w:val="ListParagraph"/>
        <w:rPr>
          <w:lang w:val="en-GB"/>
        </w:rPr>
      </w:pPr>
      <w:hyperlink r:id="rId30" w:history="1">
        <w:r w:rsidR="00607787" w:rsidRPr="009F1B60">
          <w:rPr>
            <w:rStyle w:val="Hyperlink"/>
            <w:lang w:val="en-GB"/>
          </w:rPr>
          <w:t>https://www.oecd-ilibrary.org/environment/test-no-508-magnitude-of-the-pesticide-residues-in-processed-commodities_9789264067622-en</w:t>
        </w:r>
      </w:hyperlink>
      <w:r w:rsidR="00607787">
        <w:rPr>
          <w:lang w:val="en-GB"/>
        </w:rPr>
        <w:t xml:space="preserve"> </w:t>
      </w:r>
    </w:p>
    <w:p w14:paraId="2C1C8C5B" w14:textId="77777777" w:rsidR="00607787" w:rsidRDefault="00607787" w:rsidP="00607787">
      <w:pPr>
        <w:pStyle w:val="ListParagraph"/>
        <w:rPr>
          <w:lang w:val="en-GB"/>
        </w:rPr>
      </w:pPr>
    </w:p>
    <w:p w14:paraId="36E3B7C2" w14:textId="6D5086BC" w:rsidR="00607787" w:rsidRDefault="00607787" w:rsidP="00607787">
      <w:pPr>
        <w:pStyle w:val="ListParagraph"/>
        <w:numPr>
          <w:ilvl w:val="0"/>
          <w:numId w:val="12"/>
        </w:numPr>
      </w:pPr>
      <w:r w:rsidRPr="00607787">
        <w:t xml:space="preserve">OECD Guidance document on the </w:t>
      </w:r>
      <w:r>
        <w:t xml:space="preserve">definition of residue </w:t>
      </w:r>
    </w:p>
    <w:p w14:paraId="454DBB54" w14:textId="7CDC636F" w:rsidR="00607787" w:rsidRPr="00607787" w:rsidRDefault="003B36DE" w:rsidP="00EC75E3">
      <w:pPr>
        <w:ind w:left="360" w:firstLine="360"/>
      </w:pPr>
      <w:hyperlink r:id="rId31" w:history="1">
        <w:r w:rsidR="00EC75E3" w:rsidRPr="009F1B60">
          <w:rPr>
            <w:rStyle w:val="Hyperlink"/>
          </w:rPr>
          <w:t>https://www.oecd.org/officialdocuments/publicdisplaydocumentpdf/?cote=ENV/JM/MONO(2009)30&amp;doclanguage=en</w:t>
        </w:r>
      </w:hyperlink>
      <w:r w:rsidR="00EC75E3">
        <w:t xml:space="preserve"> </w:t>
      </w:r>
    </w:p>
    <w:p w14:paraId="3C7CA43B" w14:textId="2233AF04" w:rsidR="00607787" w:rsidRPr="00453537" w:rsidRDefault="00607787" w:rsidP="00607787">
      <w:pPr>
        <w:pStyle w:val="ListParagraph"/>
        <w:ind w:left="360"/>
        <w:rPr>
          <w:lang w:val="en-GB"/>
        </w:rPr>
      </w:pPr>
    </w:p>
    <w:p w14:paraId="5B90BA05" w14:textId="4252238C" w:rsidR="00463702" w:rsidRPr="000C301B" w:rsidRDefault="00463702" w:rsidP="000C301B">
      <w:pPr>
        <w:rPr>
          <w:lang w:val="en-GB"/>
        </w:rPr>
      </w:pPr>
    </w:p>
    <w:sectPr w:rsidR="00463702" w:rsidRPr="000C301B">
      <w:headerReference w:type="default" r:id="rId32"/>
      <w:footerReference w:type="default" r:id="rId33"/>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DA5C6" w16cex:dateUtc="2021-07-05T13:37:00Z"/>
  <w16cex:commentExtensible w16cex:durableId="24CCEBAD" w16cex:dateUtc="2021-08-22T13:28:00Z"/>
  <w16cex:commentExtensible w16cex:durableId="24CCEBEA" w16cex:dateUtc="2021-08-22T13:29:00Z"/>
  <w16cex:commentExtensible w16cex:durableId="24CCEB00" w16cex:dateUtc="2021-08-22T13:25:00Z"/>
  <w16cex:commentExtensible w16cex:durableId="24CCED37" w16cex:dateUtc="2021-08-22T13:35:00Z"/>
  <w16cex:commentExtensible w16cex:durableId="24CCEBFD" w16cex:dateUtc="2021-08-22T13:30:00Z"/>
  <w16cex:commentExtensible w16cex:durableId="24CCEC78" w16cex:dateUtc="2021-08-22T13:32:00Z"/>
  <w16cex:commentExtensible w16cex:durableId="248EAFC1" w16cex:dateUtc="2021-07-06T08:32:00Z"/>
  <w16cex:commentExtensible w16cex:durableId="248EAF37" w16cex:dateUtc="2021-07-06T08:30:00Z"/>
  <w16cex:commentExtensible w16cex:durableId="24CCEDB4" w16cex:dateUtc="2021-08-22T13:37:00Z"/>
  <w16cex:commentExtensible w16cex:durableId="24CCEDDC" w16cex:dateUtc="2021-08-22T13:38:00Z"/>
  <w16cex:commentExtensible w16cex:durableId="24CCEE76" w16cex:dateUtc="2021-08-22T13:40:00Z"/>
  <w16cex:commentExtensible w16cex:durableId="248EA368" w16cex:dateUtc="2021-07-06T07:39:00Z"/>
  <w16cex:commentExtensible w16cex:durableId="24CCEF81" w16cex:dateUtc="2021-08-22T13:45:00Z"/>
  <w16cex:commentExtensible w16cex:durableId="24CCF65D" w16cex:dateUtc="2021-08-22T14:14:00Z"/>
  <w16cex:commentExtensible w16cex:durableId="248EA30C" w16cex:dateUtc="2021-07-06T07:38:00Z"/>
  <w16cex:commentExtensible w16cex:durableId="24CCEFA8" w16cex:dateUtc="2021-08-22T13:45:00Z"/>
  <w16cex:commentExtensible w16cex:durableId="24CCEF2D" w16cex:dateUtc="2021-08-22T13:43:00Z"/>
  <w16cex:commentExtensible w16cex:durableId="24CCEF12" w16cex:dateUtc="2021-08-22T13:43:00Z"/>
  <w16cex:commentExtensible w16cex:durableId="248EDB45" w16cex:dateUtc="2021-07-06T11:38:00Z"/>
  <w16cex:commentExtensible w16cex:durableId="248EA496" w16cex:dateUtc="2021-07-06T07:44:00Z"/>
  <w16cex:commentExtensible w16cex:durableId="24CCF041" w16cex:dateUtc="2021-08-22T13:48:00Z"/>
  <w16cex:commentExtensible w16cex:durableId="24CCF1A3" w16cex:dateUtc="2021-08-22T13:54:00Z"/>
  <w16cex:commentExtensible w16cex:durableId="24CCF286" w16cex:dateUtc="2021-08-22T13:57:00Z"/>
  <w16cex:commentExtensible w16cex:durableId="24CCFCC0" w16cex:dateUtc="2021-08-22T14:41:00Z"/>
  <w16cex:commentExtensible w16cex:durableId="24CCFD46" w16cex:dateUtc="2021-08-22T14:43:00Z"/>
  <w16cex:commentExtensible w16cex:durableId="24CCFDBF" w16cex:dateUtc="2021-08-22T14:45:00Z"/>
  <w16cex:commentExtensible w16cex:durableId="24CCFDEF" w16cex:dateUtc="2021-08-22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FB5C79" w16cid:durableId="2486A2DB"/>
  <w16cid:commentId w16cid:paraId="5EDACE74" w16cid:durableId="248DA5C6"/>
  <w16cid:commentId w16cid:paraId="46BB8F9A" w16cid:durableId="24CCEBAD"/>
  <w16cid:commentId w16cid:paraId="2C18271B" w16cid:durableId="24CCEA0A"/>
  <w16cid:commentId w16cid:paraId="4EEB376B" w16cid:durableId="24CCEA0B"/>
  <w16cid:commentId w16cid:paraId="5F6A04AB" w16cid:durableId="24CCEBEA"/>
  <w16cid:commentId w16cid:paraId="1AE4F4C3" w16cid:durableId="24CCEB00"/>
  <w16cid:commentId w16cid:paraId="04E71F9E" w16cid:durableId="2486AD8E"/>
  <w16cid:commentId w16cid:paraId="04B7522E" w16cid:durableId="24CCED37"/>
  <w16cid:commentId w16cid:paraId="774602A6" w16cid:durableId="24CCEA0D"/>
  <w16cid:commentId w16cid:paraId="65269E29" w16cid:durableId="24CCEBFD"/>
  <w16cid:commentId w16cid:paraId="7155C1D1" w16cid:durableId="24CCEA0E"/>
  <w16cid:commentId w16cid:paraId="10B78A07" w16cid:durableId="24CCEC78"/>
  <w16cid:commentId w16cid:paraId="1EDF56F4" w16cid:durableId="24CCEA0F"/>
  <w16cid:commentId w16cid:paraId="509BF7EA" w16cid:durableId="24CCEA10"/>
  <w16cid:commentId w16cid:paraId="058F5225" w16cid:durableId="24CCEA11"/>
  <w16cid:commentId w16cid:paraId="0A88C841" w16cid:durableId="24CCEA12"/>
  <w16cid:commentId w16cid:paraId="562C3ED7" w16cid:durableId="24CCEA13"/>
  <w16cid:commentId w16cid:paraId="0C15B5F1" w16cid:durableId="24CCEA14"/>
  <w16cid:commentId w16cid:paraId="654359B4" w16cid:durableId="2486BA7F"/>
  <w16cid:commentId w16cid:paraId="24B2DB60" w16cid:durableId="2486B941"/>
  <w16cid:commentId w16cid:paraId="39A8E650" w16cid:durableId="2486B619"/>
  <w16cid:commentId w16cid:paraId="468EC031" w16cid:durableId="24CCEA18"/>
  <w16cid:commentId w16cid:paraId="0FC9B972" w16cid:durableId="24CCEA19"/>
  <w16cid:commentId w16cid:paraId="5326D3A5" w16cid:durableId="24CCEA1A"/>
  <w16cid:commentId w16cid:paraId="3FBAD702" w16cid:durableId="2486B5AC"/>
  <w16cid:commentId w16cid:paraId="33499FFF" w16cid:durableId="24CCEA1C"/>
  <w16cid:commentId w16cid:paraId="7177CDC6" w16cid:durableId="2486B530"/>
  <w16cid:commentId w16cid:paraId="28EF47CA" w16cid:durableId="2486BCBF"/>
  <w16cid:commentId w16cid:paraId="2EE927E1" w16cid:durableId="248EAFC1"/>
  <w16cid:commentId w16cid:paraId="4F30D7C5" w16cid:durableId="2486DB45"/>
  <w16cid:commentId w16cid:paraId="6C94DE23" w16cid:durableId="248EAF37"/>
  <w16cid:commentId w16cid:paraId="4C78CA27" w16cid:durableId="24CCEDB4"/>
  <w16cid:commentId w16cid:paraId="230AE923" w16cid:durableId="24CCEA22"/>
  <w16cid:commentId w16cid:paraId="3ECA9541" w16cid:durableId="24CCEDDC"/>
  <w16cid:commentId w16cid:paraId="751E4085" w16cid:durableId="2486F286"/>
  <w16cid:commentId w16cid:paraId="6B785EB5" w16cid:durableId="2486C7B6"/>
  <w16cid:commentId w16cid:paraId="402DFF04" w16cid:durableId="2486CA03"/>
  <w16cid:commentId w16cid:paraId="13D50FE7" w16cid:durableId="2486CA0F"/>
  <w16cid:commentId w16cid:paraId="579546C6" w16cid:durableId="2486CD09"/>
  <w16cid:commentId w16cid:paraId="2723551A" w16cid:durableId="24CCEA28"/>
  <w16cid:commentId w16cid:paraId="5B7A02DB" w16cid:durableId="24CCEE76"/>
  <w16cid:commentId w16cid:paraId="6F0CF7D9" w16cid:durableId="2486D21F"/>
  <w16cid:commentId w16cid:paraId="57BA42A4" w16cid:durableId="24CCEA2A"/>
  <w16cid:commentId w16cid:paraId="5E105F74" w16cid:durableId="248EA368"/>
  <w16cid:commentId w16cid:paraId="10200C11" w16cid:durableId="24CCEF81"/>
  <w16cid:commentId w16cid:paraId="4048F72A" w16cid:durableId="24CCF723"/>
  <w16cid:commentId w16cid:paraId="4A3ECC3E" w16cid:durableId="24CCF722"/>
  <w16cid:commentId w16cid:paraId="5F171E5B" w16cid:durableId="24CCF727"/>
  <w16cid:commentId w16cid:paraId="14F46154" w16cid:durableId="24CCF726"/>
  <w16cid:commentId w16cid:paraId="15E08617" w16cid:durableId="2486DAFC"/>
  <w16cid:commentId w16cid:paraId="02335A33" w16cid:durableId="24CCEA2D"/>
  <w16cid:commentId w16cid:paraId="472F8BEC" w16cid:durableId="24CCEA2E"/>
  <w16cid:commentId w16cid:paraId="71309A83" w16cid:durableId="24CCF65D"/>
  <w16cid:commentId w16cid:paraId="6DC57E54" w16cid:durableId="248EA30C"/>
  <w16cid:commentId w16cid:paraId="10E8777F" w16cid:durableId="24CCEFA8"/>
  <w16cid:commentId w16cid:paraId="685081CA" w16cid:durableId="24CCEA30"/>
  <w16cid:commentId w16cid:paraId="61D62BE0" w16cid:durableId="24CCEF2D"/>
  <w16cid:commentId w16cid:paraId="0A07E440" w16cid:durableId="24CCEF12"/>
  <w16cid:commentId w16cid:paraId="7558723C" w16cid:durableId="248EDB45"/>
  <w16cid:commentId w16cid:paraId="75E4582A" w16cid:durableId="248EA496"/>
  <w16cid:commentId w16cid:paraId="712B6D34" w16cid:durableId="24CCEA33"/>
  <w16cid:commentId w16cid:paraId="52EE94F8" w16cid:durableId="24CCF041"/>
  <w16cid:commentId w16cid:paraId="4A1CCD00" w16cid:durableId="24CCEA34"/>
  <w16cid:commentId w16cid:paraId="0F3DAFF8" w16cid:durableId="24CCF1A3"/>
  <w16cid:commentId w16cid:paraId="7C027F4F" w16cid:durableId="24CCEA35"/>
  <w16cid:commentId w16cid:paraId="223823BD" w16cid:durableId="24CCEA36"/>
  <w16cid:commentId w16cid:paraId="64F6DE4B" w16cid:durableId="2486EDD7"/>
  <w16cid:commentId w16cid:paraId="549D20A9" w16cid:durableId="24CCF286"/>
  <w16cid:commentId w16cid:paraId="03E5723C" w16cid:durableId="24CCEA38"/>
  <w16cid:commentId w16cid:paraId="642DE001" w16cid:durableId="2486E9C3"/>
  <w16cid:commentId w16cid:paraId="1066D104" w16cid:durableId="24CCEA3A"/>
  <w16cid:commentId w16cid:paraId="713FE200" w16cid:durableId="24CCFCC0"/>
  <w16cid:commentId w16cid:paraId="2DBCAE75" w16cid:durableId="24CCEA3B"/>
  <w16cid:commentId w16cid:paraId="580499FE" w16cid:durableId="2486F367"/>
  <w16cid:commentId w16cid:paraId="53932D9A" w16cid:durableId="24CCEA3D"/>
  <w16cid:commentId w16cid:paraId="2BAC112A" w16cid:durableId="24CCEA3E"/>
  <w16cid:commentId w16cid:paraId="459A347C" w16cid:durableId="24CCFD46"/>
  <w16cid:commentId w16cid:paraId="3DC9A7A9" w16cid:durableId="2486E7FB"/>
  <w16cid:commentId w16cid:paraId="728D2C4A" w16cid:durableId="24CCFDBF"/>
  <w16cid:commentId w16cid:paraId="76EA8A47" w16cid:durableId="24CCFD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9B7C6" w14:textId="77777777" w:rsidR="005F77B4" w:rsidRDefault="005F77B4" w:rsidP="00FE3EC3">
      <w:pPr>
        <w:spacing w:after="0" w:line="240" w:lineRule="auto"/>
      </w:pPr>
      <w:r>
        <w:separator/>
      </w:r>
    </w:p>
  </w:endnote>
  <w:endnote w:type="continuationSeparator" w:id="0">
    <w:p w14:paraId="1D7D712A" w14:textId="77777777" w:rsidR="005F77B4" w:rsidRDefault="005F77B4" w:rsidP="00FE3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E6689" w14:textId="205A6480" w:rsidR="005F77B4" w:rsidRDefault="005F77B4" w:rsidP="0008200C">
    <w:pPr>
      <w:pStyle w:val="Footer"/>
      <w:tabs>
        <w:tab w:val="left" w:pos="6449"/>
      </w:tabs>
    </w:pPr>
    <w:r>
      <w:tab/>
    </w:r>
    <w:sdt>
      <w:sdtPr>
        <w:id w:val="-341710093"/>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3B36D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36DE">
              <w:rPr>
                <w:b/>
                <w:bCs/>
                <w:noProof/>
              </w:rPr>
              <w:t>17</w:t>
            </w:r>
            <w:r>
              <w:rPr>
                <w:b/>
                <w:bCs/>
                <w:sz w:val="24"/>
                <w:szCs w:val="24"/>
              </w:rPr>
              <w:fldChar w:fldCharType="end"/>
            </w:r>
          </w:sdtContent>
        </w:sdt>
      </w:sdtContent>
    </w:sdt>
    <w:r>
      <w:tab/>
    </w:r>
  </w:p>
  <w:p w14:paraId="053C1BCC" w14:textId="77777777" w:rsidR="005F77B4" w:rsidRDefault="005F7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6A06E" w14:textId="77777777" w:rsidR="005F77B4" w:rsidRDefault="005F77B4" w:rsidP="00FE3EC3">
      <w:pPr>
        <w:spacing w:after="0" w:line="240" w:lineRule="auto"/>
      </w:pPr>
      <w:r>
        <w:separator/>
      </w:r>
    </w:p>
  </w:footnote>
  <w:footnote w:type="continuationSeparator" w:id="0">
    <w:p w14:paraId="1B76EE02" w14:textId="77777777" w:rsidR="005F77B4" w:rsidRDefault="005F77B4" w:rsidP="00FE3EC3">
      <w:pPr>
        <w:spacing w:after="0" w:line="240" w:lineRule="auto"/>
      </w:pPr>
      <w:r>
        <w:continuationSeparator/>
      </w:r>
    </w:p>
  </w:footnote>
  <w:footnote w:id="1">
    <w:p w14:paraId="65CCF8C5" w14:textId="765F04E1" w:rsidR="005F77B4" w:rsidRDefault="005F77B4" w:rsidP="009D4FC5">
      <w:pPr>
        <w:pStyle w:val="FootnoteText"/>
        <w:ind w:left="120" w:hanging="120"/>
        <w:jc w:val="both"/>
      </w:pPr>
      <w:r>
        <w:rPr>
          <w:rStyle w:val="FootnoteReference"/>
        </w:rPr>
        <w:footnoteRef/>
      </w:r>
      <w:r>
        <w:t xml:space="preserve"> </w:t>
      </w:r>
      <w:r w:rsidRPr="002E28D9">
        <w:t xml:space="preserve">This document has been conceived as </w:t>
      </w:r>
      <w:r>
        <w:t>an information note</w:t>
      </w:r>
      <w:r w:rsidRPr="002E28D9">
        <w:t xml:space="preserve"> of the Commission Services. It does not represent the official position of the Commission. It does not intend to produce legally binding effects. Only the European Court of Justice has jurisdiction to give preliminary rulings concerning the validity and interpretation of acts of the institutions of the EU pursuant to Article 267 of the Treaty.</w:t>
      </w:r>
    </w:p>
  </w:footnote>
  <w:footnote w:id="2">
    <w:p w14:paraId="44259858" w14:textId="77777777" w:rsidR="005F77B4" w:rsidRPr="00C13872" w:rsidRDefault="005F77B4" w:rsidP="00DD1C37">
      <w:pPr>
        <w:pStyle w:val="FootnoteText"/>
      </w:pPr>
      <w:r>
        <w:rPr>
          <w:rStyle w:val="FootnoteReference"/>
        </w:rPr>
        <w:footnoteRef/>
      </w:r>
      <w:r w:rsidRPr="00C13872">
        <w:t xml:space="preserve"> </w:t>
      </w:r>
      <w:hyperlink r:id="rId1" w:history="1">
        <w:r w:rsidRPr="00C13872">
          <w:rPr>
            <w:rStyle w:val="Hyperlink"/>
          </w:rPr>
          <w:t>COM(2020) 208 final</w:t>
        </w:r>
      </w:hyperlink>
    </w:p>
  </w:footnote>
  <w:footnote w:id="3">
    <w:p w14:paraId="157F46F8" w14:textId="0B22FEC0" w:rsidR="005F77B4" w:rsidRPr="006A5130" w:rsidRDefault="005F77B4">
      <w:pPr>
        <w:pStyle w:val="FootnoteText"/>
      </w:pPr>
      <w:r>
        <w:rPr>
          <w:rStyle w:val="FootnoteReference"/>
        </w:rPr>
        <w:footnoteRef/>
      </w:r>
      <w:r>
        <w:t xml:space="preserve"> </w:t>
      </w:r>
      <w:r w:rsidRPr="006A5130">
        <w:t>Regulation (EC) No 1107/2009 of the European Parliament and of the Council of 21 October 2009 concerning the placing of plant protection products on the market and repealing Council Directives 79/117/EEC and 91/414/EEC (OJ L 309, 24.11.2009, p. 1).</w:t>
      </w:r>
    </w:p>
  </w:footnote>
  <w:footnote w:id="4">
    <w:p w14:paraId="4E2F9725" w14:textId="56574B49" w:rsidR="005F77B4" w:rsidRPr="006A5130" w:rsidRDefault="005F77B4">
      <w:pPr>
        <w:pStyle w:val="FootnoteText"/>
      </w:pPr>
      <w:r>
        <w:rPr>
          <w:rStyle w:val="FootnoteReference"/>
        </w:rPr>
        <w:footnoteRef/>
      </w:r>
      <w:r>
        <w:t xml:space="preserve"> </w:t>
      </w:r>
      <w:r w:rsidRPr="006A5130">
        <w:t>Regulation (EC) No 396/2005 of the European Parliament and of the Council of 23 February 2005 on maximum residue levels of pesticides in or on food and feed of plant and animal origin and amending Council Directive 91/414/EEC (OJ L 70, 16.3.2005, p. 1).</w:t>
      </w:r>
    </w:p>
  </w:footnote>
  <w:footnote w:id="5">
    <w:p w14:paraId="44C3658C" w14:textId="77777777" w:rsidR="005F77B4" w:rsidRPr="0019758E" w:rsidRDefault="005F77B4" w:rsidP="00DD1C37">
      <w:pPr>
        <w:pStyle w:val="FootnoteText"/>
      </w:pPr>
      <w:r>
        <w:rPr>
          <w:rStyle w:val="FootnoteReference"/>
        </w:rPr>
        <w:footnoteRef/>
      </w:r>
      <w:r w:rsidRPr="0019758E">
        <w:t xml:space="preserve"> </w:t>
      </w:r>
      <w:r w:rsidRPr="00FE100E">
        <w:rPr>
          <w:szCs w:val="24"/>
        </w:rPr>
        <w:t>Regulation (EC) No 396/2005 of the European Parliament and of the Council of 23 February 2005 on maximum residue levels of pesticides in or on food and feed of plant and animal origin and amending Council Directive 91/414/EEC</w:t>
      </w:r>
      <w:r>
        <w:rPr>
          <w:szCs w:val="24"/>
        </w:rPr>
        <w:t xml:space="preserve"> (</w:t>
      </w:r>
      <w:r>
        <w:t>OJ L 70, 16.3.2005, p. 1.)</w:t>
      </w:r>
    </w:p>
  </w:footnote>
  <w:footnote w:id="6">
    <w:p w14:paraId="6999AE5D" w14:textId="77777777" w:rsidR="005F77B4" w:rsidRPr="004054E9" w:rsidRDefault="005F77B4" w:rsidP="005804C4">
      <w:pPr>
        <w:pStyle w:val="FootnoteText"/>
      </w:pPr>
      <w:r>
        <w:rPr>
          <w:rStyle w:val="FootnoteReference"/>
        </w:rPr>
        <w:footnoteRef/>
      </w:r>
      <w:r>
        <w:t xml:space="preserve"> </w:t>
      </w:r>
      <w:r w:rsidRPr="004054E9">
        <w:t>Regulation (EC) No 852/2004 of the European Parliament and of the Council of 29 April 2004 on the hygiene of foodstuffs (OJ L 139, 30.4.2004, p. 1–54)</w:t>
      </w:r>
    </w:p>
  </w:footnote>
  <w:footnote w:id="7">
    <w:p w14:paraId="0A82B908" w14:textId="77777777" w:rsidR="005F77B4" w:rsidRDefault="005F77B4" w:rsidP="00567FF3">
      <w:pPr>
        <w:pStyle w:val="FootnoteText"/>
      </w:pPr>
      <w:r>
        <w:rPr>
          <w:rStyle w:val="FootnoteReference"/>
        </w:rPr>
        <w:footnoteRef/>
      </w:r>
      <w:r>
        <w:t xml:space="preserve"> </w:t>
      </w:r>
      <w:r w:rsidRPr="004E74C5">
        <w:t>OECD Guidelines for the Testing of Chemicals, Section 5</w:t>
      </w:r>
      <w:r>
        <w:t xml:space="preserve">, </w:t>
      </w:r>
      <w:r w:rsidRPr="004E74C5">
        <w:t>Test No. 508: Magnitude of the Pesticide Residues in Processed Commodities</w:t>
      </w:r>
    </w:p>
    <w:p w14:paraId="54012665" w14:textId="77777777" w:rsidR="005F77B4" w:rsidRPr="004E74C5" w:rsidRDefault="005F77B4" w:rsidP="00567FF3">
      <w:pPr>
        <w:pStyle w:val="FootnoteText"/>
        <w:rPr>
          <w:lang w:val="en-IE"/>
        </w:rPr>
      </w:pPr>
    </w:p>
  </w:footnote>
  <w:footnote w:id="8">
    <w:p w14:paraId="4B2ADD43" w14:textId="5BCE8C56" w:rsidR="005F77B4" w:rsidRDefault="005F77B4" w:rsidP="00567FF3">
      <w:pPr>
        <w:pStyle w:val="FootnoteText"/>
      </w:pPr>
      <w:r>
        <w:rPr>
          <w:rStyle w:val="FootnoteReference"/>
        </w:rPr>
        <w:footnoteRef/>
      </w:r>
      <w:r>
        <w:t xml:space="preserve"> Technical guidelines on data requirements for setting maximum residue levels, comparability of residue trials and extrapolation of residue data of residue data on products from plant and animal origin </w:t>
      </w:r>
      <w:hyperlink r:id="rId2" w:history="1">
        <w:r w:rsidRPr="009F1B60">
          <w:rPr>
            <w:rStyle w:val="Hyperlink"/>
          </w:rPr>
          <w:t>https://ec.europa.eu/food/sites/food/files/plant/docs/pesticides_mrl_guidelines_app-d.pdf</w:t>
        </w:r>
      </w:hyperlink>
    </w:p>
    <w:p w14:paraId="4BA06F36" w14:textId="77777777" w:rsidR="005F77B4" w:rsidRPr="006248AF" w:rsidRDefault="005F77B4" w:rsidP="00567FF3">
      <w:pPr>
        <w:pStyle w:val="FootnoteText"/>
      </w:pPr>
    </w:p>
  </w:footnote>
  <w:footnote w:id="9">
    <w:p w14:paraId="02E9EBD1" w14:textId="665E7E98" w:rsidR="005F77B4" w:rsidRDefault="005F77B4" w:rsidP="00F32995">
      <w:pPr>
        <w:pStyle w:val="FootnoteText"/>
      </w:pPr>
      <w:r>
        <w:rPr>
          <w:rStyle w:val="FootnoteReference"/>
        </w:rPr>
        <w:footnoteRef/>
      </w:r>
      <w:r>
        <w:t xml:space="preserve"> RIVM, Bilthoven, Netherlands, 11 june 2020, Processing factors for dried commodities</w:t>
      </w:r>
    </w:p>
    <w:p w14:paraId="4F628083" w14:textId="05748ECB" w:rsidR="005F77B4" w:rsidRPr="00F32995" w:rsidRDefault="005F77B4" w:rsidP="00F32995">
      <w:pPr>
        <w:pStyle w:val="FootnoteText"/>
      </w:pPr>
    </w:p>
  </w:footnote>
  <w:footnote w:id="10">
    <w:p w14:paraId="785D6D27" w14:textId="757A4E32" w:rsidR="005F77B4" w:rsidRDefault="005F77B4" w:rsidP="00374118">
      <w:pPr>
        <w:pStyle w:val="FootnoteText"/>
      </w:pPr>
      <w:r>
        <w:rPr>
          <w:rStyle w:val="FootnoteReference"/>
        </w:rPr>
        <w:footnoteRef/>
      </w:r>
      <w:r>
        <w:t xml:space="preserve"> RASFF WI 2.2: Guideline for the calculation of consumer intake and evaluation of the risk for pesticide residues </w:t>
      </w:r>
    </w:p>
    <w:p w14:paraId="7C80A0D6" w14:textId="520E22AF" w:rsidR="005F77B4" w:rsidRPr="00374118" w:rsidRDefault="005F77B4" w:rsidP="00374118">
      <w:pPr>
        <w:pStyle w:val="FootnoteText"/>
      </w:pPr>
      <w:r w:rsidRPr="00374118">
        <w:t>as applied in its latest version</w:t>
      </w:r>
    </w:p>
  </w:footnote>
  <w:footnote w:id="11">
    <w:p w14:paraId="24719F7E" w14:textId="714AD0F5" w:rsidR="005F77B4" w:rsidRPr="00374118" w:rsidRDefault="005F77B4">
      <w:pPr>
        <w:pStyle w:val="FootnoteText"/>
      </w:pPr>
      <w:r>
        <w:rPr>
          <w:rStyle w:val="FootnoteReference"/>
        </w:rPr>
        <w:footnoteRef/>
      </w:r>
      <w:r>
        <w:t xml:space="preserve"> </w:t>
      </w:r>
      <w:r w:rsidRPr="00374118">
        <w:t>Document Nº SANTE/12682/2019 on analytical quality control and method validation procedures for pesticides residues analysis in food and feed, as applied in its latest 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C6BC0" w14:textId="77777777" w:rsidR="005F77B4" w:rsidRDefault="003B36DE" w:rsidP="003C6AB3">
    <w:pPr>
      <w:pStyle w:val="Header"/>
    </w:pPr>
    <w:sdt>
      <w:sdtPr>
        <w:id w:val="1192804194"/>
        <w:docPartObj>
          <w:docPartGallery w:val="Watermarks"/>
          <w:docPartUnique/>
        </w:docPartObj>
      </w:sdtPr>
      <w:sdtEndPr/>
      <w:sdtContent>
        <w:r>
          <w:rPr>
            <w:noProof/>
          </w:rPr>
          <w:pict w14:anchorId="75840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tbl>
    <w:tblPr>
      <w:tblW w:w="9468" w:type="dxa"/>
      <w:tblLayout w:type="fixed"/>
      <w:tblCellMar>
        <w:left w:w="0" w:type="dxa"/>
        <w:right w:w="0" w:type="dxa"/>
      </w:tblCellMar>
      <w:tblLook w:val="0000" w:firstRow="0" w:lastRow="0" w:firstColumn="0" w:lastColumn="0" w:noHBand="0" w:noVBand="0"/>
    </w:tblPr>
    <w:tblGrid>
      <w:gridCol w:w="2381"/>
      <w:gridCol w:w="7087"/>
    </w:tblGrid>
    <w:tr w:rsidR="005F77B4" w14:paraId="011782A2" w14:textId="77777777" w:rsidTr="536FF9DF">
      <w:trPr>
        <w:trHeight w:val="1440"/>
      </w:trPr>
      <w:tc>
        <w:tcPr>
          <w:tcW w:w="2381" w:type="dxa"/>
          <w:tcBorders>
            <w:top w:val="nil"/>
            <w:left w:val="nil"/>
            <w:bottom w:val="nil"/>
            <w:right w:val="nil"/>
          </w:tcBorders>
        </w:tcPr>
        <w:p w14:paraId="2ECE5F92" w14:textId="77777777" w:rsidR="005F77B4" w:rsidRDefault="005F77B4" w:rsidP="00232C88">
          <w:pPr>
            <w:pStyle w:val="ZCom"/>
          </w:pPr>
          <w:r>
            <w:rPr>
              <w:noProof/>
              <w:lang w:val="en-US" w:eastAsia="en-US"/>
            </w:rPr>
            <w:drawing>
              <wp:inline distT="0" distB="0" distL="0" distR="0" wp14:anchorId="7DFB2916" wp14:editId="3CFB6F78">
                <wp:extent cx="1367790" cy="673100"/>
                <wp:effectExtent l="0" t="0" r="3810" b="0"/>
                <wp:docPr id="1" name="Picture 1" descr="C:\WINNT\Profiles\Administrator\Desktop\logo_ec_17_colors_300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67790" cy="673100"/>
                        </a:xfrm>
                        <a:prstGeom prst="rect">
                          <a:avLst/>
                        </a:prstGeom>
                      </pic:spPr>
                    </pic:pic>
                  </a:graphicData>
                </a:graphic>
              </wp:inline>
            </w:drawing>
          </w:r>
        </w:p>
      </w:tc>
      <w:tc>
        <w:tcPr>
          <w:tcW w:w="7087" w:type="dxa"/>
          <w:tcBorders>
            <w:top w:val="nil"/>
            <w:left w:val="nil"/>
            <w:bottom w:val="nil"/>
            <w:right w:val="nil"/>
          </w:tcBorders>
        </w:tcPr>
        <w:p w14:paraId="3E352E12" w14:textId="77777777" w:rsidR="005F77B4" w:rsidRDefault="005F77B4" w:rsidP="00232C88">
          <w:pPr>
            <w:pStyle w:val="ZCom"/>
            <w:spacing w:before="90"/>
          </w:pPr>
          <w:r>
            <w:t>EUROPEAN COMMISSION</w:t>
          </w:r>
        </w:p>
        <w:p w14:paraId="19352DB3" w14:textId="77777777" w:rsidR="005F77B4" w:rsidRDefault="005F77B4" w:rsidP="00232C88">
          <w:pPr>
            <w:pStyle w:val="ZDGName"/>
          </w:pPr>
          <w:r>
            <w:t>HEALTH AND FOOD SAFETY DIRECTORATE-GENERAL</w:t>
          </w:r>
        </w:p>
        <w:p w14:paraId="2826F89B" w14:textId="77777777" w:rsidR="005F77B4" w:rsidRDefault="005F77B4" w:rsidP="00232C88">
          <w:pPr>
            <w:pStyle w:val="ZDGName"/>
          </w:pPr>
        </w:p>
        <w:p w14:paraId="7A1C1E35" w14:textId="77777777" w:rsidR="005F77B4" w:rsidRDefault="005F77B4" w:rsidP="00232C88">
          <w:pPr>
            <w:pStyle w:val="ZDGName"/>
          </w:pPr>
          <w:r>
            <w:t>Food and feed safety, innovation</w:t>
          </w:r>
        </w:p>
        <w:p w14:paraId="23BFD788" w14:textId="77777777" w:rsidR="005F77B4" w:rsidRDefault="005F77B4" w:rsidP="00232C88">
          <w:pPr>
            <w:pStyle w:val="ZDGName"/>
          </w:pPr>
          <w:r>
            <w:rPr>
              <w:b/>
              <w:bCs/>
            </w:rPr>
            <w:t>Pesticides and Biocides</w:t>
          </w:r>
        </w:p>
        <w:p w14:paraId="11BC550D" w14:textId="77777777" w:rsidR="005F77B4" w:rsidRDefault="005F77B4" w:rsidP="00232C88">
          <w:pPr>
            <w:pStyle w:val="ZDGName"/>
          </w:pPr>
        </w:p>
      </w:tc>
    </w:tr>
  </w:tbl>
  <w:p w14:paraId="5BD98D24" w14:textId="4A9DBC44" w:rsidR="005F77B4" w:rsidRDefault="005F77B4" w:rsidP="003C6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38C"/>
    <w:multiLevelType w:val="hybridMultilevel"/>
    <w:tmpl w:val="659A5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75E47"/>
    <w:multiLevelType w:val="multilevel"/>
    <w:tmpl w:val="F6F80ADC"/>
    <w:lvl w:ilvl="0">
      <w:start w:val="1"/>
      <w:numFmt w:val="decimal"/>
      <w:lvlText w:val="%1."/>
      <w:lvlJc w:val="left"/>
      <w:pPr>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886069"/>
    <w:multiLevelType w:val="hybridMultilevel"/>
    <w:tmpl w:val="E43EB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82138"/>
    <w:multiLevelType w:val="hybridMultilevel"/>
    <w:tmpl w:val="CCF6AD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32DBD"/>
    <w:multiLevelType w:val="hybridMultilevel"/>
    <w:tmpl w:val="081C6078"/>
    <w:lvl w:ilvl="0" w:tplc="7A4C5736">
      <w:start w:val="2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10A4D43"/>
    <w:multiLevelType w:val="hybridMultilevel"/>
    <w:tmpl w:val="8BB2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C3863"/>
    <w:multiLevelType w:val="hybridMultilevel"/>
    <w:tmpl w:val="DBE47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B557A"/>
    <w:multiLevelType w:val="hybridMultilevel"/>
    <w:tmpl w:val="118A1CC2"/>
    <w:lvl w:ilvl="0" w:tplc="0506343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1A8352B9"/>
    <w:multiLevelType w:val="hybridMultilevel"/>
    <w:tmpl w:val="BCE41ED2"/>
    <w:lvl w:ilvl="0" w:tplc="4A5654A6">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1A8934D2"/>
    <w:multiLevelType w:val="hybridMultilevel"/>
    <w:tmpl w:val="60F05494"/>
    <w:lvl w:ilvl="0" w:tplc="080C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10" w15:restartNumberingAfterBreak="0">
    <w:nsid w:val="20D37517"/>
    <w:multiLevelType w:val="hybridMultilevel"/>
    <w:tmpl w:val="766C6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A01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962370"/>
    <w:multiLevelType w:val="hybridMultilevel"/>
    <w:tmpl w:val="87C65CC8"/>
    <w:lvl w:ilvl="0" w:tplc="0409000F">
      <w:start w:val="1"/>
      <w:numFmt w:val="decimal"/>
      <w:lvlText w:val="%1."/>
      <w:lvlJc w:val="left"/>
      <w:pPr>
        <w:ind w:left="720" w:hanging="360"/>
      </w:pPr>
      <w:rPr>
        <w:rFonts w:hint="default"/>
      </w:rPr>
    </w:lvl>
    <w:lvl w:ilvl="1" w:tplc="BC62830C">
      <w:numFmt w:val="bullet"/>
      <w:lvlText w:val="-"/>
      <w:lvlJc w:val="left"/>
      <w:pPr>
        <w:ind w:left="1440" w:hanging="360"/>
      </w:pPr>
      <w:rPr>
        <w:rFonts w:ascii="Calibri" w:eastAsiaTheme="minorHAnsi" w:hAnsi="Calibri" w:cs="Calibri" w:hint="default"/>
      </w:rPr>
    </w:lvl>
    <w:lvl w:ilvl="2" w:tplc="7208156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D6FEA"/>
    <w:multiLevelType w:val="multilevel"/>
    <w:tmpl w:val="F6F80AD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090999"/>
    <w:multiLevelType w:val="hybridMultilevel"/>
    <w:tmpl w:val="3BC2E684"/>
    <w:lvl w:ilvl="0" w:tplc="CB68E8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058A0"/>
    <w:multiLevelType w:val="multilevel"/>
    <w:tmpl w:val="F6F80AD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2E6E7A"/>
    <w:multiLevelType w:val="hybridMultilevel"/>
    <w:tmpl w:val="CE1E11E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2DF41982"/>
    <w:multiLevelType w:val="hybridMultilevel"/>
    <w:tmpl w:val="C6DA2A6E"/>
    <w:lvl w:ilvl="0" w:tplc="0786DAB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095898"/>
    <w:multiLevelType w:val="hybridMultilevel"/>
    <w:tmpl w:val="BA0E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E7C5A"/>
    <w:multiLevelType w:val="hybridMultilevel"/>
    <w:tmpl w:val="CEA40B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07224A"/>
    <w:multiLevelType w:val="hybridMultilevel"/>
    <w:tmpl w:val="ACFCC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17AB7"/>
    <w:multiLevelType w:val="hybridMultilevel"/>
    <w:tmpl w:val="AD400C7C"/>
    <w:lvl w:ilvl="0" w:tplc="5AAE1E4C">
      <w:start w:val="1"/>
      <w:numFmt w:val="upperRoman"/>
      <w:lvlText w:val="%1."/>
      <w:lvlJc w:val="left"/>
      <w:pPr>
        <w:ind w:left="720" w:hanging="72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2" w15:restartNumberingAfterBreak="0">
    <w:nsid w:val="3A3F4D04"/>
    <w:multiLevelType w:val="hybridMultilevel"/>
    <w:tmpl w:val="07E64AC8"/>
    <w:lvl w:ilvl="0" w:tplc="04090001">
      <w:start w:val="1"/>
      <w:numFmt w:val="bullet"/>
      <w:lvlText w:val=""/>
      <w:lvlJc w:val="left"/>
      <w:pPr>
        <w:ind w:left="360" w:hanging="360"/>
      </w:pPr>
      <w:rPr>
        <w:rFonts w:ascii="Symbol" w:hAnsi="Symbol" w:hint="default"/>
      </w:rPr>
    </w:lvl>
    <w:lvl w:ilvl="1" w:tplc="BC62830C">
      <w:numFmt w:val="bullet"/>
      <w:lvlText w:val="-"/>
      <w:lvlJc w:val="left"/>
      <w:pPr>
        <w:ind w:left="1080" w:hanging="360"/>
      </w:pPr>
      <w:rPr>
        <w:rFonts w:ascii="Calibri" w:eastAsiaTheme="minorHAnsi" w:hAnsi="Calibri" w:cs="Calibri" w:hint="default"/>
      </w:rPr>
    </w:lvl>
    <w:lvl w:ilvl="2" w:tplc="7208156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2636A3"/>
    <w:multiLevelType w:val="hybridMultilevel"/>
    <w:tmpl w:val="A31C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522EF"/>
    <w:multiLevelType w:val="hybridMultilevel"/>
    <w:tmpl w:val="E5AA5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85BD0"/>
    <w:multiLevelType w:val="hybridMultilevel"/>
    <w:tmpl w:val="2EFE1D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037A77"/>
    <w:multiLevelType w:val="multilevel"/>
    <w:tmpl w:val="E1AE90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F03BEF"/>
    <w:multiLevelType w:val="hybridMultilevel"/>
    <w:tmpl w:val="8FECCA2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12B2506"/>
    <w:multiLevelType w:val="hybridMultilevel"/>
    <w:tmpl w:val="8FECCA2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1A02936"/>
    <w:multiLevelType w:val="hybridMultilevel"/>
    <w:tmpl w:val="FEACBDE6"/>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0" w15:restartNumberingAfterBreak="0">
    <w:nsid w:val="569972D8"/>
    <w:multiLevelType w:val="hybridMultilevel"/>
    <w:tmpl w:val="3294C7AE"/>
    <w:lvl w:ilvl="0" w:tplc="D85E37DC">
      <w:start w:val="1"/>
      <w:numFmt w:val="bullet"/>
      <w:lvlText w:val="-"/>
      <w:lvlJc w:val="left"/>
      <w:pPr>
        <w:ind w:left="1080" w:hanging="360"/>
      </w:pPr>
      <w:rPr>
        <w:rFonts w:ascii="Arial" w:hAnsi="Arial"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1" w15:restartNumberingAfterBreak="0">
    <w:nsid w:val="57010C3F"/>
    <w:multiLevelType w:val="hybridMultilevel"/>
    <w:tmpl w:val="1B10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542AB"/>
    <w:multiLevelType w:val="hybridMultilevel"/>
    <w:tmpl w:val="74600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452D3"/>
    <w:multiLevelType w:val="hybridMultilevel"/>
    <w:tmpl w:val="E924C7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2A456D"/>
    <w:multiLevelType w:val="hybridMultilevel"/>
    <w:tmpl w:val="F09C4B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1392E"/>
    <w:multiLevelType w:val="multilevel"/>
    <w:tmpl w:val="0376FF2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BC07B27"/>
    <w:multiLevelType w:val="hybridMultilevel"/>
    <w:tmpl w:val="5A864A48"/>
    <w:lvl w:ilvl="0" w:tplc="CB68E8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7274B5"/>
    <w:multiLevelType w:val="hybridMultilevel"/>
    <w:tmpl w:val="0CD21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990AE1"/>
    <w:multiLevelType w:val="hybridMultilevel"/>
    <w:tmpl w:val="0B54D9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1"/>
  </w:num>
  <w:num w:numId="3">
    <w:abstractNumId w:val="34"/>
  </w:num>
  <w:num w:numId="4">
    <w:abstractNumId w:val="25"/>
  </w:num>
  <w:num w:numId="5">
    <w:abstractNumId w:val="10"/>
  </w:num>
  <w:num w:numId="6">
    <w:abstractNumId w:val="1"/>
  </w:num>
  <w:num w:numId="7">
    <w:abstractNumId w:val="11"/>
  </w:num>
  <w:num w:numId="8">
    <w:abstractNumId w:val="26"/>
  </w:num>
  <w:num w:numId="9">
    <w:abstractNumId w:val="17"/>
  </w:num>
  <w:num w:numId="10">
    <w:abstractNumId w:val="3"/>
  </w:num>
  <w:num w:numId="11">
    <w:abstractNumId w:val="32"/>
  </w:num>
  <w:num w:numId="12">
    <w:abstractNumId w:val="35"/>
  </w:num>
  <w:num w:numId="13">
    <w:abstractNumId w:val="8"/>
  </w:num>
  <w:num w:numId="14">
    <w:abstractNumId w:val="9"/>
  </w:num>
  <w:num w:numId="15">
    <w:abstractNumId w:val="37"/>
  </w:num>
  <w:num w:numId="16">
    <w:abstractNumId w:val="36"/>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4"/>
  </w:num>
  <w:num w:numId="20">
    <w:abstractNumId w:val="15"/>
  </w:num>
  <w:num w:numId="21">
    <w:abstractNumId w:val="29"/>
  </w:num>
  <w:num w:numId="22">
    <w:abstractNumId w:val="1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0"/>
  </w:num>
  <w:num w:numId="26">
    <w:abstractNumId w:val="5"/>
  </w:num>
  <w:num w:numId="27">
    <w:abstractNumId w:val="22"/>
  </w:num>
  <w:num w:numId="28">
    <w:abstractNumId w:val="2"/>
  </w:num>
  <w:num w:numId="29">
    <w:abstractNumId w:val="38"/>
  </w:num>
  <w:num w:numId="30">
    <w:abstractNumId w:val="19"/>
  </w:num>
  <w:num w:numId="31">
    <w:abstractNumId w:val="28"/>
  </w:num>
  <w:num w:numId="32">
    <w:abstractNumId w:val="20"/>
  </w:num>
  <w:num w:numId="33">
    <w:abstractNumId w:val="4"/>
  </w:num>
  <w:num w:numId="34">
    <w:abstractNumId w:val="6"/>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6"/>
  </w:num>
  <w:num w:numId="38">
    <w:abstractNumId w:val="23"/>
  </w:num>
  <w:num w:numId="39">
    <w:abstractNumId w:val="24"/>
  </w:num>
  <w:num w:numId="40">
    <w:abstractNumId w:val="33"/>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6" w:nlCheck="1" w:checkStyle="1"/>
  <w:activeWritingStyle w:appName="MSWord" w:lang="pt-PT" w:vendorID="64" w:dllVersion="6" w:nlCheck="1" w:checkStyle="0"/>
  <w:activeWritingStyle w:appName="MSWord" w:lang="de-DE" w:vendorID="64" w:dllVersion="6" w:nlCheck="1" w:checkStyle="0"/>
  <w:activeWritingStyle w:appName="MSWord" w:lang="es-ES" w:vendorID="64" w:dllVersion="6" w:nlCheck="1" w:checkStyle="0"/>
  <w:activeWritingStyle w:appName="MSWord" w:lang="en-I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IE" w:vendorID="64" w:dllVersion="131078" w:nlCheck="1" w:checkStyle="1"/>
  <w:activeWritingStyle w:appName="MSWord" w:lang="en-GB" w:vendorID="64" w:dllVersion="131078" w:nlCheck="1" w:checkStyle="1"/>
  <w:activeWritingStyle w:appName="MSWord" w:lang="pt-PT" w:vendorID="64" w:dllVersion="131078" w:nlCheck="1" w:checkStyle="0"/>
  <w:activeWritingStyle w:appName="MSWord" w:lang="fr-BE" w:vendorID="64" w:dllVersion="131078" w:nlCheck="1" w:checkStyle="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ACCOMPAGNANT.CP" w:val="&lt;UNUSED&gt;"/>
    <w:docVar w:name="LW_CORRIGENDUM" w:val="&lt;UNUSED&gt;"/>
    <w:docVar w:name="LW_CROSSREFERENCE" w:val="&lt;UNUSED&gt;"/>
    <w:docVar w:name="LW_DATE.ADOPT.CP_ISODATE" w:val="&lt;EMPTY&gt;"/>
    <w:docVar w:name="LW_DocType" w:val="NORMAL"/>
    <w:docVar w:name="LW_EMISSION" w:val="&lt;EMPTY&gt;"/>
    <w:docVar w:name="LW_EMISSION_ISODATE" w:val="&lt;EMPTY&gt;"/>
    <w:docVar w:name="LW_EMISSION_LOCATION" w:val="BRX"/>
    <w:docVar w:name="LW_EMISSION_PREFIX" w:val="Brussels, "/>
    <w:docVar w:name="LW_EMISSION_SUFFIX" w:val=" "/>
    <w:docVar w:name="LW_INTERETEEE.CP" w:val="&lt;UNUSED&gt;"/>
    <w:docVar w:name="LW_LANGUE" w:val="EN"/>
    <w:docVar w:name="LW_LANGUESFAISANTFOI.CP" w:val="&lt;UNUSED&gt;"/>
    <w:docVar w:name="LW_NOM.INST" w:val="EUROPEAN COMMISSION"/>
    <w:docVar w:name="LW_NOM.INST_JOINTDOC" w:val="&lt;EMPTY&gt;"/>
    <w:docVar w:name="LW_OBJETACTEPRINCIPAL.CP" w:val="&lt;UNUSED&gt;"/>
    <w:docVar w:name="LW_REF.II.NEW.CP" w:val="&lt;UNUSED&gt;"/>
    <w:docVar w:name="LW_REF.II.NEW.CP_NUMBER" w:val="&lt;UNUSED&gt;"/>
    <w:docVar w:name="LW_REF.II.NEW.CP_YEAR" w:val="2020"/>
    <w:docVar w:name="LW_REF.INST.NEW" w:val="&lt;EMPTY&gt;"/>
    <w:docVar w:name="LW_REF.INST.NEW_ADOPTED" w:val="&lt;EMPTY&gt;"/>
    <w:docVar w:name="LW_REF.INST.NEW_TEXT" w:val="(2020)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COMMISSION STAFF WORKING DOCUMENT"/>
    <w:docVar w:name="LW_TYPEACTEPRINCIPAL.CP" w:val="&lt;UNUSED&gt;"/>
  </w:docVars>
  <w:rsids>
    <w:rsidRoot w:val="00463809"/>
    <w:rsid w:val="000025D7"/>
    <w:rsid w:val="00002F69"/>
    <w:rsid w:val="00004DB7"/>
    <w:rsid w:val="0000646A"/>
    <w:rsid w:val="00014DD7"/>
    <w:rsid w:val="00014E69"/>
    <w:rsid w:val="00015564"/>
    <w:rsid w:val="00021BC8"/>
    <w:rsid w:val="000230F5"/>
    <w:rsid w:val="00024291"/>
    <w:rsid w:val="00024398"/>
    <w:rsid w:val="00024AAC"/>
    <w:rsid w:val="00025AF6"/>
    <w:rsid w:val="00030227"/>
    <w:rsid w:val="0003785B"/>
    <w:rsid w:val="00041449"/>
    <w:rsid w:val="00041F00"/>
    <w:rsid w:val="000460F3"/>
    <w:rsid w:val="00050249"/>
    <w:rsid w:val="0005080F"/>
    <w:rsid w:val="00056211"/>
    <w:rsid w:val="00060B2D"/>
    <w:rsid w:val="00062EE3"/>
    <w:rsid w:val="00065897"/>
    <w:rsid w:val="00066104"/>
    <w:rsid w:val="00066EB8"/>
    <w:rsid w:val="00070061"/>
    <w:rsid w:val="00072509"/>
    <w:rsid w:val="000727A7"/>
    <w:rsid w:val="0007626F"/>
    <w:rsid w:val="0008200C"/>
    <w:rsid w:val="00086A0B"/>
    <w:rsid w:val="0008723F"/>
    <w:rsid w:val="00090319"/>
    <w:rsid w:val="000927C4"/>
    <w:rsid w:val="000930B8"/>
    <w:rsid w:val="00093F9E"/>
    <w:rsid w:val="000947C5"/>
    <w:rsid w:val="00095E0E"/>
    <w:rsid w:val="000A21E0"/>
    <w:rsid w:val="000A2AA8"/>
    <w:rsid w:val="000A3B27"/>
    <w:rsid w:val="000A57A6"/>
    <w:rsid w:val="000B46D4"/>
    <w:rsid w:val="000B72DA"/>
    <w:rsid w:val="000C1855"/>
    <w:rsid w:val="000C2BD6"/>
    <w:rsid w:val="000C301B"/>
    <w:rsid w:val="000C39D0"/>
    <w:rsid w:val="000D534B"/>
    <w:rsid w:val="000D5E65"/>
    <w:rsid w:val="000E242B"/>
    <w:rsid w:val="000E26AB"/>
    <w:rsid w:val="000E3ABE"/>
    <w:rsid w:val="000E4ABF"/>
    <w:rsid w:val="000E6252"/>
    <w:rsid w:val="000E7CE7"/>
    <w:rsid w:val="000F365C"/>
    <w:rsid w:val="000F471A"/>
    <w:rsid w:val="000F5E71"/>
    <w:rsid w:val="000F62A4"/>
    <w:rsid w:val="000F6CA8"/>
    <w:rsid w:val="000F6D34"/>
    <w:rsid w:val="000F7343"/>
    <w:rsid w:val="00103013"/>
    <w:rsid w:val="00105757"/>
    <w:rsid w:val="00106390"/>
    <w:rsid w:val="00114BBF"/>
    <w:rsid w:val="001153EF"/>
    <w:rsid w:val="00123BC8"/>
    <w:rsid w:val="001262EA"/>
    <w:rsid w:val="001269C4"/>
    <w:rsid w:val="0012790C"/>
    <w:rsid w:val="00130895"/>
    <w:rsid w:val="00133D68"/>
    <w:rsid w:val="00140CE4"/>
    <w:rsid w:val="00145E44"/>
    <w:rsid w:val="00145FF9"/>
    <w:rsid w:val="0015624C"/>
    <w:rsid w:val="00157B74"/>
    <w:rsid w:val="001606D6"/>
    <w:rsid w:val="001612A1"/>
    <w:rsid w:val="00162CD5"/>
    <w:rsid w:val="00163280"/>
    <w:rsid w:val="00173AF1"/>
    <w:rsid w:val="00174870"/>
    <w:rsid w:val="001823C0"/>
    <w:rsid w:val="001838A9"/>
    <w:rsid w:val="00186CC5"/>
    <w:rsid w:val="001870C7"/>
    <w:rsid w:val="00190DC2"/>
    <w:rsid w:val="00192521"/>
    <w:rsid w:val="0019301A"/>
    <w:rsid w:val="00195459"/>
    <w:rsid w:val="00196DA3"/>
    <w:rsid w:val="0019758E"/>
    <w:rsid w:val="00197BF0"/>
    <w:rsid w:val="001A2063"/>
    <w:rsid w:val="001B0755"/>
    <w:rsid w:val="001B7119"/>
    <w:rsid w:val="001B7891"/>
    <w:rsid w:val="001C0DA5"/>
    <w:rsid w:val="001C205E"/>
    <w:rsid w:val="001C2C24"/>
    <w:rsid w:val="001C6FBF"/>
    <w:rsid w:val="001C7279"/>
    <w:rsid w:val="001C7362"/>
    <w:rsid w:val="001D010A"/>
    <w:rsid w:val="001D08A1"/>
    <w:rsid w:val="001D47E6"/>
    <w:rsid w:val="001D66B3"/>
    <w:rsid w:val="001D79C7"/>
    <w:rsid w:val="001E1DA0"/>
    <w:rsid w:val="001E218C"/>
    <w:rsid w:val="001E2402"/>
    <w:rsid w:val="001E298C"/>
    <w:rsid w:val="001E5C64"/>
    <w:rsid w:val="001E61FD"/>
    <w:rsid w:val="001F2CF3"/>
    <w:rsid w:val="00201BFB"/>
    <w:rsid w:val="002020E8"/>
    <w:rsid w:val="00205203"/>
    <w:rsid w:val="00205D1B"/>
    <w:rsid w:val="002079D8"/>
    <w:rsid w:val="002114D8"/>
    <w:rsid w:val="002151AF"/>
    <w:rsid w:val="00215624"/>
    <w:rsid w:val="002240A1"/>
    <w:rsid w:val="00230302"/>
    <w:rsid w:val="0023069C"/>
    <w:rsid w:val="00230C80"/>
    <w:rsid w:val="0023128E"/>
    <w:rsid w:val="00231714"/>
    <w:rsid w:val="002328CF"/>
    <w:rsid w:val="00232C88"/>
    <w:rsid w:val="00232D6E"/>
    <w:rsid w:val="00240008"/>
    <w:rsid w:val="002423EC"/>
    <w:rsid w:val="002432F0"/>
    <w:rsid w:val="0024361E"/>
    <w:rsid w:val="00246E35"/>
    <w:rsid w:val="00251123"/>
    <w:rsid w:val="00251E75"/>
    <w:rsid w:val="002527F9"/>
    <w:rsid w:val="00256764"/>
    <w:rsid w:val="0025710F"/>
    <w:rsid w:val="002636B5"/>
    <w:rsid w:val="002673CC"/>
    <w:rsid w:val="00271FD7"/>
    <w:rsid w:val="0027439B"/>
    <w:rsid w:val="002746D0"/>
    <w:rsid w:val="002819AC"/>
    <w:rsid w:val="0028260B"/>
    <w:rsid w:val="002827B5"/>
    <w:rsid w:val="002842CF"/>
    <w:rsid w:val="002A22E9"/>
    <w:rsid w:val="002B6609"/>
    <w:rsid w:val="002C26AF"/>
    <w:rsid w:val="002C2FB0"/>
    <w:rsid w:val="002D0865"/>
    <w:rsid w:val="002D1C33"/>
    <w:rsid w:val="002D3960"/>
    <w:rsid w:val="002D4515"/>
    <w:rsid w:val="002D546A"/>
    <w:rsid w:val="002D6AC5"/>
    <w:rsid w:val="002E1F60"/>
    <w:rsid w:val="002E4CC6"/>
    <w:rsid w:val="002F0F73"/>
    <w:rsid w:val="002F40D7"/>
    <w:rsid w:val="002F6008"/>
    <w:rsid w:val="002F6766"/>
    <w:rsid w:val="00300A7D"/>
    <w:rsid w:val="00300FE8"/>
    <w:rsid w:val="00301D4B"/>
    <w:rsid w:val="00303690"/>
    <w:rsid w:val="003044AB"/>
    <w:rsid w:val="003063CC"/>
    <w:rsid w:val="00306F6A"/>
    <w:rsid w:val="00307F56"/>
    <w:rsid w:val="003141F5"/>
    <w:rsid w:val="00314496"/>
    <w:rsid w:val="00320257"/>
    <w:rsid w:val="003225C9"/>
    <w:rsid w:val="00322B66"/>
    <w:rsid w:val="0033595C"/>
    <w:rsid w:val="003403BC"/>
    <w:rsid w:val="003413CA"/>
    <w:rsid w:val="0034567E"/>
    <w:rsid w:val="00356E8D"/>
    <w:rsid w:val="003603C7"/>
    <w:rsid w:val="0036102A"/>
    <w:rsid w:val="0036375E"/>
    <w:rsid w:val="003703A0"/>
    <w:rsid w:val="00374118"/>
    <w:rsid w:val="00377182"/>
    <w:rsid w:val="00382749"/>
    <w:rsid w:val="0038298F"/>
    <w:rsid w:val="00383077"/>
    <w:rsid w:val="00392CE6"/>
    <w:rsid w:val="00394E24"/>
    <w:rsid w:val="003A4D29"/>
    <w:rsid w:val="003B00DE"/>
    <w:rsid w:val="003B36DE"/>
    <w:rsid w:val="003B510D"/>
    <w:rsid w:val="003B51D0"/>
    <w:rsid w:val="003B7D47"/>
    <w:rsid w:val="003C56DE"/>
    <w:rsid w:val="003C618B"/>
    <w:rsid w:val="003C6AB3"/>
    <w:rsid w:val="003C71B0"/>
    <w:rsid w:val="003C7E4E"/>
    <w:rsid w:val="003D409D"/>
    <w:rsid w:val="003D4B9B"/>
    <w:rsid w:val="003D515E"/>
    <w:rsid w:val="003D522E"/>
    <w:rsid w:val="003D5320"/>
    <w:rsid w:val="003E054C"/>
    <w:rsid w:val="003E778A"/>
    <w:rsid w:val="003F37A0"/>
    <w:rsid w:val="003F4026"/>
    <w:rsid w:val="004033A9"/>
    <w:rsid w:val="004054E9"/>
    <w:rsid w:val="0040575E"/>
    <w:rsid w:val="004058EE"/>
    <w:rsid w:val="00405BC8"/>
    <w:rsid w:val="00407717"/>
    <w:rsid w:val="00412BD5"/>
    <w:rsid w:val="00413413"/>
    <w:rsid w:val="004222B7"/>
    <w:rsid w:val="00426F81"/>
    <w:rsid w:val="00430624"/>
    <w:rsid w:val="00431FAA"/>
    <w:rsid w:val="004345D3"/>
    <w:rsid w:val="0043644E"/>
    <w:rsid w:val="0044225D"/>
    <w:rsid w:val="0044330D"/>
    <w:rsid w:val="004436E0"/>
    <w:rsid w:val="00444198"/>
    <w:rsid w:val="00446873"/>
    <w:rsid w:val="004508C0"/>
    <w:rsid w:val="00451F02"/>
    <w:rsid w:val="0045309D"/>
    <w:rsid w:val="00453537"/>
    <w:rsid w:val="00454DD5"/>
    <w:rsid w:val="00454F6A"/>
    <w:rsid w:val="00456C94"/>
    <w:rsid w:val="004577E7"/>
    <w:rsid w:val="00462D64"/>
    <w:rsid w:val="00463702"/>
    <w:rsid w:val="00463809"/>
    <w:rsid w:val="0046659E"/>
    <w:rsid w:val="00471CAC"/>
    <w:rsid w:val="00472067"/>
    <w:rsid w:val="0047624E"/>
    <w:rsid w:val="00477010"/>
    <w:rsid w:val="00477187"/>
    <w:rsid w:val="004801E8"/>
    <w:rsid w:val="00480896"/>
    <w:rsid w:val="00483D9D"/>
    <w:rsid w:val="004848F7"/>
    <w:rsid w:val="004852D3"/>
    <w:rsid w:val="004865DA"/>
    <w:rsid w:val="00486E97"/>
    <w:rsid w:val="0049143E"/>
    <w:rsid w:val="00491EEB"/>
    <w:rsid w:val="00495484"/>
    <w:rsid w:val="00497377"/>
    <w:rsid w:val="004A014E"/>
    <w:rsid w:val="004A11C0"/>
    <w:rsid w:val="004A6683"/>
    <w:rsid w:val="004B3649"/>
    <w:rsid w:val="004B42E3"/>
    <w:rsid w:val="004B534B"/>
    <w:rsid w:val="004C0D4A"/>
    <w:rsid w:val="004C6843"/>
    <w:rsid w:val="004D14C3"/>
    <w:rsid w:val="004D2297"/>
    <w:rsid w:val="004D5683"/>
    <w:rsid w:val="004D78DA"/>
    <w:rsid w:val="004D7EBC"/>
    <w:rsid w:val="004E1103"/>
    <w:rsid w:val="004E2ECD"/>
    <w:rsid w:val="004E74C5"/>
    <w:rsid w:val="00501762"/>
    <w:rsid w:val="00502506"/>
    <w:rsid w:val="00503674"/>
    <w:rsid w:val="00503BDF"/>
    <w:rsid w:val="005075AA"/>
    <w:rsid w:val="00510A4A"/>
    <w:rsid w:val="005129B8"/>
    <w:rsid w:val="00513A31"/>
    <w:rsid w:val="00514756"/>
    <w:rsid w:val="00515B93"/>
    <w:rsid w:val="005208CA"/>
    <w:rsid w:val="00523938"/>
    <w:rsid w:val="005303DB"/>
    <w:rsid w:val="0053075C"/>
    <w:rsid w:val="00531BA4"/>
    <w:rsid w:val="00532FFC"/>
    <w:rsid w:val="00533A70"/>
    <w:rsid w:val="00534E88"/>
    <w:rsid w:val="00535497"/>
    <w:rsid w:val="0054038C"/>
    <w:rsid w:val="00546459"/>
    <w:rsid w:val="00551DBA"/>
    <w:rsid w:val="00561BC3"/>
    <w:rsid w:val="00564A58"/>
    <w:rsid w:val="00564ACF"/>
    <w:rsid w:val="00567FF3"/>
    <w:rsid w:val="005705CE"/>
    <w:rsid w:val="00572290"/>
    <w:rsid w:val="00574171"/>
    <w:rsid w:val="00575293"/>
    <w:rsid w:val="0057695B"/>
    <w:rsid w:val="005804C4"/>
    <w:rsid w:val="005827A4"/>
    <w:rsid w:val="00582EB2"/>
    <w:rsid w:val="00583CBA"/>
    <w:rsid w:val="0058637C"/>
    <w:rsid w:val="00586D7E"/>
    <w:rsid w:val="005910B3"/>
    <w:rsid w:val="00591577"/>
    <w:rsid w:val="0059269C"/>
    <w:rsid w:val="00592E38"/>
    <w:rsid w:val="0059436C"/>
    <w:rsid w:val="00594F87"/>
    <w:rsid w:val="005A1941"/>
    <w:rsid w:val="005A42BB"/>
    <w:rsid w:val="005A4C06"/>
    <w:rsid w:val="005A558F"/>
    <w:rsid w:val="005A5A26"/>
    <w:rsid w:val="005B31EA"/>
    <w:rsid w:val="005B6856"/>
    <w:rsid w:val="005B7AC1"/>
    <w:rsid w:val="005C2432"/>
    <w:rsid w:val="005C287D"/>
    <w:rsid w:val="005C3DB3"/>
    <w:rsid w:val="005C5376"/>
    <w:rsid w:val="005D0D3D"/>
    <w:rsid w:val="005D5A61"/>
    <w:rsid w:val="005D6D27"/>
    <w:rsid w:val="005E2EBB"/>
    <w:rsid w:val="005E3389"/>
    <w:rsid w:val="005E7476"/>
    <w:rsid w:val="005F0504"/>
    <w:rsid w:val="005F3CEB"/>
    <w:rsid w:val="005F4734"/>
    <w:rsid w:val="005F77B4"/>
    <w:rsid w:val="00600B11"/>
    <w:rsid w:val="00600ED6"/>
    <w:rsid w:val="00601B17"/>
    <w:rsid w:val="006023F2"/>
    <w:rsid w:val="00602D34"/>
    <w:rsid w:val="00603338"/>
    <w:rsid w:val="00603D74"/>
    <w:rsid w:val="0060690A"/>
    <w:rsid w:val="00607787"/>
    <w:rsid w:val="006111FB"/>
    <w:rsid w:val="006153A0"/>
    <w:rsid w:val="0061707E"/>
    <w:rsid w:val="006173C7"/>
    <w:rsid w:val="00621249"/>
    <w:rsid w:val="006240CF"/>
    <w:rsid w:val="00624494"/>
    <w:rsid w:val="006248AF"/>
    <w:rsid w:val="0063688E"/>
    <w:rsid w:val="00637EDE"/>
    <w:rsid w:val="006433E0"/>
    <w:rsid w:val="006441EA"/>
    <w:rsid w:val="00650CCB"/>
    <w:rsid w:val="006512CA"/>
    <w:rsid w:val="00653551"/>
    <w:rsid w:val="006536CF"/>
    <w:rsid w:val="00654782"/>
    <w:rsid w:val="0066288B"/>
    <w:rsid w:val="00663FCF"/>
    <w:rsid w:val="00664ADC"/>
    <w:rsid w:val="00664CFF"/>
    <w:rsid w:val="00670089"/>
    <w:rsid w:val="006705DF"/>
    <w:rsid w:val="00672F24"/>
    <w:rsid w:val="006769BC"/>
    <w:rsid w:val="00677AFE"/>
    <w:rsid w:val="006864F0"/>
    <w:rsid w:val="00686D55"/>
    <w:rsid w:val="00687122"/>
    <w:rsid w:val="00692AA6"/>
    <w:rsid w:val="00693B9C"/>
    <w:rsid w:val="0069772E"/>
    <w:rsid w:val="006A09DB"/>
    <w:rsid w:val="006A2A5E"/>
    <w:rsid w:val="006A32CE"/>
    <w:rsid w:val="006A5130"/>
    <w:rsid w:val="006A7D45"/>
    <w:rsid w:val="006B01A3"/>
    <w:rsid w:val="006B249B"/>
    <w:rsid w:val="006B2CE1"/>
    <w:rsid w:val="006B5D96"/>
    <w:rsid w:val="006B7DB1"/>
    <w:rsid w:val="006C0691"/>
    <w:rsid w:val="006C143F"/>
    <w:rsid w:val="006C16CF"/>
    <w:rsid w:val="006C38F4"/>
    <w:rsid w:val="006C4507"/>
    <w:rsid w:val="006C548F"/>
    <w:rsid w:val="006C6D4C"/>
    <w:rsid w:val="006C6ED1"/>
    <w:rsid w:val="006D31C7"/>
    <w:rsid w:val="006D53DE"/>
    <w:rsid w:val="006D56A5"/>
    <w:rsid w:val="006D6617"/>
    <w:rsid w:val="006E0F82"/>
    <w:rsid w:val="006E3B93"/>
    <w:rsid w:val="006E75E0"/>
    <w:rsid w:val="006F00CA"/>
    <w:rsid w:val="006F10D8"/>
    <w:rsid w:val="006F4692"/>
    <w:rsid w:val="006F618F"/>
    <w:rsid w:val="006F65F5"/>
    <w:rsid w:val="00705EE0"/>
    <w:rsid w:val="007120C0"/>
    <w:rsid w:val="00712233"/>
    <w:rsid w:val="007174A6"/>
    <w:rsid w:val="00722A3F"/>
    <w:rsid w:val="007246FC"/>
    <w:rsid w:val="00724835"/>
    <w:rsid w:val="007325BA"/>
    <w:rsid w:val="00736376"/>
    <w:rsid w:val="00736F31"/>
    <w:rsid w:val="00736FE5"/>
    <w:rsid w:val="00740A64"/>
    <w:rsid w:val="00743DBB"/>
    <w:rsid w:val="00745B6D"/>
    <w:rsid w:val="00751AA6"/>
    <w:rsid w:val="00753320"/>
    <w:rsid w:val="00753C1C"/>
    <w:rsid w:val="00753F8F"/>
    <w:rsid w:val="00754C70"/>
    <w:rsid w:val="00761F8B"/>
    <w:rsid w:val="00764E96"/>
    <w:rsid w:val="00774536"/>
    <w:rsid w:val="00776B78"/>
    <w:rsid w:val="0077718F"/>
    <w:rsid w:val="00777CBE"/>
    <w:rsid w:val="00780342"/>
    <w:rsid w:val="00781142"/>
    <w:rsid w:val="00783663"/>
    <w:rsid w:val="007875A5"/>
    <w:rsid w:val="00787855"/>
    <w:rsid w:val="00792250"/>
    <w:rsid w:val="00792281"/>
    <w:rsid w:val="0079316F"/>
    <w:rsid w:val="00793757"/>
    <w:rsid w:val="00795CF3"/>
    <w:rsid w:val="00796C75"/>
    <w:rsid w:val="007A04B5"/>
    <w:rsid w:val="007A37CF"/>
    <w:rsid w:val="007A7E2D"/>
    <w:rsid w:val="007B39B8"/>
    <w:rsid w:val="007C115B"/>
    <w:rsid w:val="007C1387"/>
    <w:rsid w:val="007C48D9"/>
    <w:rsid w:val="007C51E3"/>
    <w:rsid w:val="007D0CC5"/>
    <w:rsid w:val="007D1692"/>
    <w:rsid w:val="007D243A"/>
    <w:rsid w:val="007D6DD6"/>
    <w:rsid w:val="007E5BE9"/>
    <w:rsid w:val="007E5D42"/>
    <w:rsid w:val="007E5F6E"/>
    <w:rsid w:val="007E709E"/>
    <w:rsid w:val="007E7F94"/>
    <w:rsid w:val="00800974"/>
    <w:rsid w:val="00805357"/>
    <w:rsid w:val="00805594"/>
    <w:rsid w:val="00806139"/>
    <w:rsid w:val="00806701"/>
    <w:rsid w:val="008074B0"/>
    <w:rsid w:val="008079C8"/>
    <w:rsid w:val="00810478"/>
    <w:rsid w:val="00810B49"/>
    <w:rsid w:val="00810FC3"/>
    <w:rsid w:val="00816418"/>
    <w:rsid w:val="008213B2"/>
    <w:rsid w:val="00822ABF"/>
    <w:rsid w:val="00823894"/>
    <w:rsid w:val="00824591"/>
    <w:rsid w:val="00826575"/>
    <w:rsid w:val="00827675"/>
    <w:rsid w:val="00831438"/>
    <w:rsid w:val="0083345B"/>
    <w:rsid w:val="00834607"/>
    <w:rsid w:val="00836DF2"/>
    <w:rsid w:val="008407DB"/>
    <w:rsid w:val="008411BB"/>
    <w:rsid w:val="00842832"/>
    <w:rsid w:val="00844F63"/>
    <w:rsid w:val="0084520B"/>
    <w:rsid w:val="0084571C"/>
    <w:rsid w:val="0085035A"/>
    <w:rsid w:val="00850DEC"/>
    <w:rsid w:val="00851087"/>
    <w:rsid w:val="00861C9B"/>
    <w:rsid w:val="00861E0E"/>
    <w:rsid w:val="00866974"/>
    <w:rsid w:val="00872D36"/>
    <w:rsid w:val="008730AB"/>
    <w:rsid w:val="0087504C"/>
    <w:rsid w:val="008758D2"/>
    <w:rsid w:val="008804FB"/>
    <w:rsid w:val="00883021"/>
    <w:rsid w:val="0088338F"/>
    <w:rsid w:val="00884A48"/>
    <w:rsid w:val="00884BE0"/>
    <w:rsid w:val="00885091"/>
    <w:rsid w:val="008864C3"/>
    <w:rsid w:val="00890AEB"/>
    <w:rsid w:val="00894539"/>
    <w:rsid w:val="00895177"/>
    <w:rsid w:val="00897AA9"/>
    <w:rsid w:val="00897DEC"/>
    <w:rsid w:val="008A0BA3"/>
    <w:rsid w:val="008A60B5"/>
    <w:rsid w:val="008B08C3"/>
    <w:rsid w:val="008B5AB4"/>
    <w:rsid w:val="008B7A15"/>
    <w:rsid w:val="008C1285"/>
    <w:rsid w:val="008C1D42"/>
    <w:rsid w:val="008C36B0"/>
    <w:rsid w:val="008C4F0D"/>
    <w:rsid w:val="008C5EB0"/>
    <w:rsid w:val="008C5FD7"/>
    <w:rsid w:val="008D11EA"/>
    <w:rsid w:val="008D25BA"/>
    <w:rsid w:val="008D73AD"/>
    <w:rsid w:val="008F0881"/>
    <w:rsid w:val="008F0968"/>
    <w:rsid w:val="008F4955"/>
    <w:rsid w:val="008F4D80"/>
    <w:rsid w:val="008F4E1C"/>
    <w:rsid w:val="008F77B4"/>
    <w:rsid w:val="00904A4B"/>
    <w:rsid w:val="00910199"/>
    <w:rsid w:val="00911FFC"/>
    <w:rsid w:val="00913C66"/>
    <w:rsid w:val="00915C57"/>
    <w:rsid w:val="0091603E"/>
    <w:rsid w:val="0091797F"/>
    <w:rsid w:val="0092137F"/>
    <w:rsid w:val="00921A0E"/>
    <w:rsid w:val="00923409"/>
    <w:rsid w:val="00930EFF"/>
    <w:rsid w:val="009313AA"/>
    <w:rsid w:val="009320DF"/>
    <w:rsid w:val="0093364F"/>
    <w:rsid w:val="009364E2"/>
    <w:rsid w:val="0093716B"/>
    <w:rsid w:val="009420BB"/>
    <w:rsid w:val="00942911"/>
    <w:rsid w:val="0095087F"/>
    <w:rsid w:val="00952713"/>
    <w:rsid w:val="009538BD"/>
    <w:rsid w:val="009547E1"/>
    <w:rsid w:val="00955A8F"/>
    <w:rsid w:val="00957388"/>
    <w:rsid w:val="00962190"/>
    <w:rsid w:val="009657B4"/>
    <w:rsid w:val="00971F92"/>
    <w:rsid w:val="00972BAA"/>
    <w:rsid w:val="00973374"/>
    <w:rsid w:val="00974B3E"/>
    <w:rsid w:val="00975A7B"/>
    <w:rsid w:val="009776FA"/>
    <w:rsid w:val="0097781F"/>
    <w:rsid w:val="00977BD7"/>
    <w:rsid w:val="0098166D"/>
    <w:rsid w:val="0098408E"/>
    <w:rsid w:val="00984ABB"/>
    <w:rsid w:val="00987F44"/>
    <w:rsid w:val="009924CA"/>
    <w:rsid w:val="00992FF2"/>
    <w:rsid w:val="00994409"/>
    <w:rsid w:val="00994416"/>
    <w:rsid w:val="00995D34"/>
    <w:rsid w:val="009A2EBF"/>
    <w:rsid w:val="009A36B3"/>
    <w:rsid w:val="009A39F3"/>
    <w:rsid w:val="009B168B"/>
    <w:rsid w:val="009B5AFB"/>
    <w:rsid w:val="009B6428"/>
    <w:rsid w:val="009B7529"/>
    <w:rsid w:val="009B7642"/>
    <w:rsid w:val="009C041E"/>
    <w:rsid w:val="009C0583"/>
    <w:rsid w:val="009C06FB"/>
    <w:rsid w:val="009C1983"/>
    <w:rsid w:val="009C222C"/>
    <w:rsid w:val="009C39D6"/>
    <w:rsid w:val="009C3CD1"/>
    <w:rsid w:val="009C4128"/>
    <w:rsid w:val="009C46D4"/>
    <w:rsid w:val="009C64AA"/>
    <w:rsid w:val="009D437A"/>
    <w:rsid w:val="009D437B"/>
    <w:rsid w:val="009D4FC5"/>
    <w:rsid w:val="009D66D2"/>
    <w:rsid w:val="009E0284"/>
    <w:rsid w:val="009E033B"/>
    <w:rsid w:val="009E5F00"/>
    <w:rsid w:val="009F0515"/>
    <w:rsid w:val="009F09F0"/>
    <w:rsid w:val="009F0B1A"/>
    <w:rsid w:val="00A01D04"/>
    <w:rsid w:val="00A02F62"/>
    <w:rsid w:val="00A06B65"/>
    <w:rsid w:val="00A073A7"/>
    <w:rsid w:val="00A13649"/>
    <w:rsid w:val="00A13675"/>
    <w:rsid w:val="00A17A66"/>
    <w:rsid w:val="00A247FA"/>
    <w:rsid w:val="00A25851"/>
    <w:rsid w:val="00A25DB7"/>
    <w:rsid w:val="00A314D4"/>
    <w:rsid w:val="00A36672"/>
    <w:rsid w:val="00A4051D"/>
    <w:rsid w:val="00A40AEC"/>
    <w:rsid w:val="00A4192F"/>
    <w:rsid w:val="00A41C34"/>
    <w:rsid w:val="00A438C1"/>
    <w:rsid w:val="00A43FDB"/>
    <w:rsid w:val="00A4466C"/>
    <w:rsid w:val="00A4559A"/>
    <w:rsid w:val="00A508D5"/>
    <w:rsid w:val="00A57F6C"/>
    <w:rsid w:val="00A62640"/>
    <w:rsid w:val="00A66394"/>
    <w:rsid w:val="00A7379D"/>
    <w:rsid w:val="00A80641"/>
    <w:rsid w:val="00A81E9F"/>
    <w:rsid w:val="00A935DE"/>
    <w:rsid w:val="00A95D45"/>
    <w:rsid w:val="00A97D12"/>
    <w:rsid w:val="00AA355E"/>
    <w:rsid w:val="00AA6B8D"/>
    <w:rsid w:val="00AA78F0"/>
    <w:rsid w:val="00AB08EF"/>
    <w:rsid w:val="00AB49CA"/>
    <w:rsid w:val="00AC308A"/>
    <w:rsid w:val="00AC398C"/>
    <w:rsid w:val="00AC45C9"/>
    <w:rsid w:val="00AD06DA"/>
    <w:rsid w:val="00AD1558"/>
    <w:rsid w:val="00AD2A18"/>
    <w:rsid w:val="00AD5926"/>
    <w:rsid w:val="00AE1050"/>
    <w:rsid w:val="00AE509F"/>
    <w:rsid w:val="00AF043D"/>
    <w:rsid w:val="00AF08A5"/>
    <w:rsid w:val="00AF3023"/>
    <w:rsid w:val="00AF3EE0"/>
    <w:rsid w:val="00AF4C27"/>
    <w:rsid w:val="00AF529D"/>
    <w:rsid w:val="00AF5939"/>
    <w:rsid w:val="00AF67FE"/>
    <w:rsid w:val="00AF779D"/>
    <w:rsid w:val="00AF7F03"/>
    <w:rsid w:val="00B03D14"/>
    <w:rsid w:val="00B04A94"/>
    <w:rsid w:val="00B052C7"/>
    <w:rsid w:val="00B05A8D"/>
    <w:rsid w:val="00B07598"/>
    <w:rsid w:val="00B07759"/>
    <w:rsid w:val="00B10797"/>
    <w:rsid w:val="00B25CAD"/>
    <w:rsid w:val="00B37067"/>
    <w:rsid w:val="00B37671"/>
    <w:rsid w:val="00B40B9A"/>
    <w:rsid w:val="00B440D8"/>
    <w:rsid w:val="00B45858"/>
    <w:rsid w:val="00B5211F"/>
    <w:rsid w:val="00B53CBE"/>
    <w:rsid w:val="00B54A03"/>
    <w:rsid w:val="00B56C98"/>
    <w:rsid w:val="00B573A4"/>
    <w:rsid w:val="00B62446"/>
    <w:rsid w:val="00B629D9"/>
    <w:rsid w:val="00B635E6"/>
    <w:rsid w:val="00B6529F"/>
    <w:rsid w:val="00B6758B"/>
    <w:rsid w:val="00B70221"/>
    <w:rsid w:val="00B7273F"/>
    <w:rsid w:val="00B73A35"/>
    <w:rsid w:val="00B77A5F"/>
    <w:rsid w:val="00B835DF"/>
    <w:rsid w:val="00B87273"/>
    <w:rsid w:val="00B916C8"/>
    <w:rsid w:val="00B9476F"/>
    <w:rsid w:val="00BA4276"/>
    <w:rsid w:val="00BA4967"/>
    <w:rsid w:val="00BA4E82"/>
    <w:rsid w:val="00BB19C6"/>
    <w:rsid w:val="00BB3266"/>
    <w:rsid w:val="00BB4426"/>
    <w:rsid w:val="00BB4A17"/>
    <w:rsid w:val="00BC26B4"/>
    <w:rsid w:val="00BC56AB"/>
    <w:rsid w:val="00BC7B2F"/>
    <w:rsid w:val="00BC7F70"/>
    <w:rsid w:val="00BD0108"/>
    <w:rsid w:val="00BD250E"/>
    <w:rsid w:val="00BD2EFF"/>
    <w:rsid w:val="00BE41F5"/>
    <w:rsid w:val="00BF181D"/>
    <w:rsid w:val="00BF26C1"/>
    <w:rsid w:val="00BF3691"/>
    <w:rsid w:val="00BF3D0F"/>
    <w:rsid w:val="00BF641F"/>
    <w:rsid w:val="00BF6463"/>
    <w:rsid w:val="00BF7072"/>
    <w:rsid w:val="00BF75A6"/>
    <w:rsid w:val="00C00C74"/>
    <w:rsid w:val="00C00E3C"/>
    <w:rsid w:val="00C00F55"/>
    <w:rsid w:val="00C02D27"/>
    <w:rsid w:val="00C11010"/>
    <w:rsid w:val="00C132E6"/>
    <w:rsid w:val="00C13872"/>
    <w:rsid w:val="00C14BE2"/>
    <w:rsid w:val="00C243E0"/>
    <w:rsid w:val="00C25DAD"/>
    <w:rsid w:val="00C40B92"/>
    <w:rsid w:val="00C4222B"/>
    <w:rsid w:val="00C42498"/>
    <w:rsid w:val="00C47EA5"/>
    <w:rsid w:val="00C56F7F"/>
    <w:rsid w:val="00C60493"/>
    <w:rsid w:val="00C645B2"/>
    <w:rsid w:val="00C74CC7"/>
    <w:rsid w:val="00C77858"/>
    <w:rsid w:val="00C81CD8"/>
    <w:rsid w:val="00C82357"/>
    <w:rsid w:val="00C9399A"/>
    <w:rsid w:val="00C95BA1"/>
    <w:rsid w:val="00CA04D2"/>
    <w:rsid w:val="00CA2349"/>
    <w:rsid w:val="00CA536B"/>
    <w:rsid w:val="00CA5801"/>
    <w:rsid w:val="00CA7503"/>
    <w:rsid w:val="00CB1528"/>
    <w:rsid w:val="00CB3231"/>
    <w:rsid w:val="00CB3F05"/>
    <w:rsid w:val="00CB492F"/>
    <w:rsid w:val="00CB4DAA"/>
    <w:rsid w:val="00CB5A97"/>
    <w:rsid w:val="00CB67F5"/>
    <w:rsid w:val="00CB75D0"/>
    <w:rsid w:val="00CC4AA4"/>
    <w:rsid w:val="00CC6C42"/>
    <w:rsid w:val="00CC75FD"/>
    <w:rsid w:val="00CC7D05"/>
    <w:rsid w:val="00CC7D89"/>
    <w:rsid w:val="00CD44BC"/>
    <w:rsid w:val="00CE0874"/>
    <w:rsid w:val="00CE29CE"/>
    <w:rsid w:val="00CE368F"/>
    <w:rsid w:val="00CE5599"/>
    <w:rsid w:val="00CE681F"/>
    <w:rsid w:val="00CE74C7"/>
    <w:rsid w:val="00CE7679"/>
    <w:rsid w:val="00CE7733"/>
    <w:rsid w:val="00CF06E9"/>
    <w:rsid w:val="00CF0793"/>
    <w:rsid w:val="00CF14DE"/>
    <w:rsid w:val="00CF2BFC"/>
    <w:rsid w:val="00CF4827"/>
    <w:rsid w:val="00D020C3"/>
    <w:rsid w:val="00D032F8"/>
    <w:rsid w:val="00D04448"/>
    <w:rsid w:val="00D05656"/>
    <w:rsid w:val="00D10FE3"/>
    <w:rsid w:val="00D1391D"/>
    <w:rsid w:val="00D1766C"/>
    <w:rsid w:val="00D2492A"/>
    <w:rsid w:val="00D2532A"/>
    <w:rsid w:val="00D30B7C"/>
    <w:rsid w:val="00D372F4"/>
    <w:rsid w:val="00D46DAB"/>
    <w:rsid w:val="00D57D44"/>
    <w:rsid w:val="00D60D13"/>
    <w:rsid w:val="00D619CD"/>
    <w:rsid w:val="00D715ED"/>
    <w:rsid w:val="00D71E84"/>
    <w:rsid w:val="00D7799E"/>
    <w:rsid w:val="00D8008B"/>
    <w:rsid w:val="00D81E14"/>
    <w:rsid w:val="00D83FF1"/>
    <w:rsid w:val="00D85928"/>
    <w:rsid w:val="00D93DF1"/>
    <w:rsid w:val="00DA089B"/>
    <w:rsid w:val="00DA0AC1"/>
    <w:rsid w:val="00DA1048"/>
    <w:rsid w:val="00DA160D"/>
    <w:rsid w:val="00DA32E1"/>
    <w:rsid w:val="00DA6F76"/>
    <w:rsid w:val="00DA7BE4"/>
    <w:rsid w:val="00DB0B41"/>
    <w:rsid w:val="00DB0F1A"/>
    <w:rsid w:val="00DB4D62"/>
    <w:rsid w:val="00DB75F5"/>
    <w:rsid w:val="00DC5AAF"/>
    <w:rsid w:val="00DC654F"/>
    <w:rsid w:val="00DC6EAC"/>
    <w:rsid w:val="00DD1C37"/>
    <w:rsid w:val="00DD2B11"/>
    <w:rsid w:val="00DD5B51"/>
    <w:rsid w:val="00DD5E3E"/>
    <w:rsid w:val="00DD60BC"/>
    <w:rsid w:val="00DD7536"/>
    <w:rsid w:val="00DE0250"/>
    <w:rsid w:val="00DE068D"/>
    <w:rsid w:val="00DE08D5"/>
    <w:rsid w:val="00DE0CF8"/>
    <w:rsid w:val="00DE2015"/>
    <w:rsid w:val="00DE3626"/>
    <w:rsid w:val="00DE39F6"/>
    <w:rsid w:val="00DE4347"/>
    <w:rsid w:val="00DE5039"/>
    <w:rsid w:val="00DE74C6"/>
    <w:rsid w:val="00DF5554"/>
    <w:rsid w:val="00E01E36"/>
    <w:rsid w:val="00E04BBF"/>
    <w:rsid w:val="00E13CE6"/>
    <w:rsid w:val="00E14B0C"/>
    <w:rsid w:val="00E22137"/>
    <w:rsid w:val="00E266FE"/>
    <w:rsid w:val="00E3008F"/>
    <w:rsid w:val="00E338B9"/>
    <w:rsid w:val="00E341D6"/>
    <w:rsid w:val="00E3451F"/>
    <w:rsid w:val="00E40872"/>
    <w:rsid w:val="00E41E34"/>
    <w:rsid w:val="00E44B16"/>
    <w:rsid w:val="00E4545C"/>
    <w:rsid w:val="00E45667"/>
    <w:rsid w:val="00E47D36"/>
    <w:rsid w:val="00E54D22"/>
    <w:rsid w:val="00E56EC0"/>
    <w:rsid w:val="00E57F06"/>
    <w:rsid w:val="00E6014C"/>
    <w:rsid w:val="00E615F8"/>
    <w:rsid w:val="00E61B43"/>
    <w:rsid w:val="00E64833"/>
    <w:rsid w:val="00E657F0"/>
    <w:rsid w:val="00E679B3"/>
    <w:rsid w:val="00E76528"/>
    <w:rsid w:val="00E76A81"/>
    <w:rsid w:val="00E80AE3"/>
    <w:rsid w:val="00E841AC"/>
    <w:rsid w:val="00E84723"/>
    <w:rsid w:val="00E85518"/>
    <w:rsid w:val="00E8738B"/>
    <w:rsid w:val="00E916A0"/>
    <w:rsid w:val="00E95D55"/>
    <w:rsid w:val="00E96040"/>
    <w:rsid w:val="00E96906"/>
    <w:rsid w:val="00EA1928"/>
    <w:rsid w:val="00EA1CE2"/>
    <w:rsid w:val="00EA2D5E"/>
    <w:rsid w:val="00EB0D5B"/>
    <w:rsid w:val="00EC0467"/>
    <w:rsid w:val="00EC1D9C"/>
    <w:rsid w:val="00EC374A"/>
    <w:rsid w:val="00EC6615"/>
    <w:rsid w:val="00EC68A5"/>
    <w:rsid w:val="00EC75E3"/>
    <w:rsid w:val="00EE013E"/>
    <w:rsid w:val="00EE25D3"/>
    <w:rsid w:val="00EE2DB0"/>
    <w:rsid w:val="00EE3776"/>
    <w:rsid w:val="00EE4CE9"/>
    <w:rsid w:val="00EF1E9F"/>
    <w:rsid w:val="00EF2F85"/>
    <w:rsid w:val="00F009C2"/>
    <w:rsid w:val="00F02971"/>
    <w:rsid w:val="00F03242"/>
    <w:rsid w:val="00F04E1C"/>
    <w:rsid w:val="00F05419"/>
    <w:rsid w:val="00F102D0"/>
    <w:rsid w:val="00F1213C"/>
    <w:rsid w:val="00F12367"/>
    <w:rsid w:val="00F13995"/>
    <w:rsid w:val="00F13F2B"/>
    <w:rsid w:val="00F23DB0"/>
    <w:rsid w:val="00F242D3"/>
    <w:rsid w:val="00F25B8E"/>
    <w:rsid w:val="00F2632F"/>
    <w:rsid w:val="00F26350"/>
    <w:rsid w:val="00F306DF"/>
    <w:rsid w:val="00F310E3"/>
    <w:rsid w:val="00F32995"/>
    <w:rsid w:val="00F32C17"/>
    <w:rsid w:val="00F331CD"/>
    <w:rsid w:val="00F47F5C"/>
    <w:rsid w:val="00F50B24"/>
    <w:rsid w:val="00F5231E"/>
    <w:rsid w:val="00F55344"/>
    <w:rsid w:val="00F55C87"/>
    <w:rsid w:val="00F61BD2"/>
    <w:rsid w:val="00F63E09"/>
    <w:rsid w:val="00F74D54"/>
    <w:rsid w:val="00F75896"/>
    <w:rsid w:val="00F7679C"/>
    <w:rsid w:val="00F774AC"/>
    <w:rsid w:val="00F80AF2"/>
    <w:rsid w:val="00F80E41"/>
    <w:rsid w:val="00F82745"/>
    <w:rsid w:val="00F82DC6"/>
    <w:rsid w:val="00F83C26"/>
    <w:rsid w:val="00F83EE0"/>
    <w:rsid w:val="00F844AC"/>
    <w:rsid w:val="00F85DC2"/>
    <w:rsid w:val="00F870CD"/>
    <w:rsid w:val="00F87FC6"/>
    <w:rsid w:val="00F93698"/>
    <w:rsid w:val="00F940C8"/>
    <w:rsid w:val="00F94B49"/>
    <w:rsid w:val="00FA06CD"/>
    <w:rsid w:val="00FB0529"/>
    <w:rsid w:val="00FB0893"/>
    <w:rsid w:val="00FB1F90"/>
    <w:rsid w:val="00FB2D09"/>
    <w:rsid w:val="00FB3220"/>
    <w:rsid w:val="00FC34C8"/>
    <w:rsid w:val="00FC55BB"/>
    <w:rsid w:val="00FC6EDA"/>
    <w:rsid w:val="00FD2B2B"/>
    <w:rsid w:val="00FD3505"/>
    <w:rsid w:val="00FD3D5B"/>
    <w:rsid w:val="00FD5DF0"/>
    <w:rsid w:val="00FD67C5"/>
    <w:rsid w:val="00FD6DEE"/>
    <w:rsid w:val="00FD79F8"/>
    <w:rsid w:val="00FE2460"/>
    <w:rsid w:val="00FE39FE"/>
    <w:rsid w:val="00FE3EC3"/>
    <w:rsid w:val="00FE4B76"/>
    <w:rsid w:val="00FE624C"/>
    <w:rsid w:val="00FE6B6F"/>
    <w:rsid w:val="00FF0E8C"/>
    <w:rsid w:val="00FF2483"/>
    <w:rsid w:val="00FF2F2F"/>
    <w:rsid w:val="00FF3766"/>
    <w:rsid w:val="01AB6C21"/>
    <w:rsid w:val="04BDBA51"/>
    <w:rsid w:val="0F6A70ED"/>
    <w:rsid w:val="161D2D14"/>
    <w:rsid w:val="1DBE1D45"/>
    <w:rsid w:val="1E27F9EB"/>
    <w:rsid w:val="2FAB44E2"/>
    <w:rsid w:val="331357A0"/>
    <w:rsid w:val="35778338"/>
    <w:rsid w:val="4170EF69"/>
    <w:rsid w:val="4C788196"/>
    <w:rsid w:val="5165CB7A"/>
    <w:rsid w:val="536FF9DF"/>
    <w:rsid w:val="57679552"/>
    <w:rsid w:val="5F36E1D5"/>
    <w:rsid w:val="6373B3E2"/>
    <w:rsid w:val="663EFE56"/>
    <w:rsid w:val="6A9D10E1"/>
    <w:rsid w:val="6C9E587D"/>
    <w:rsid w:val="6D67AC73"/>
    <w:rsid w:val="6F8A4289"/>
    <w:rsid w:val="71F26795"/>
    <w:rsid w:val="7577493E"/>
    <w:rsid w:val="760511FD"/>
    <w:rsid w:val="7D6B6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DA8ED2"/>
  <w15:chartTrackingRefBased/>
  <w15:docId w15:val="{09CCC15A-81CD-4BF4-8F31-95622980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AB"/>
  </w:style>
  <w:style w:type="paragraph" w:styleId="Heading1">
    <w:name w:val="heading 1"/>
    <w:basedOn w:val="Normal"/>
    <w:next w:val="Normal"/>
    <w:link w:val="Heading1Char"/>
    <w:qFormat/>
    <w:rsid w:val="0046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50D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380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36DF2"/>
    <w:rPr>
      <w:color w:val="0000FF"/>
      <w:u w:val="single"/>
    </w:rPr>
  </w:style>
  <w:style w:type="paragraph" w:styleId="ListParagraph">
    <w:name w:val="List Paragraph"/>
    <w:basedOn w:val="Normal"/>
    <w:uiPriority w:val="34"/>
    <w:qFormat/>
    <w:rsid w:val="00836DF2"/>
    <w:pPr>
      <w:spacing w:after="0" w:line="240" w:lineRule="auto"/>
      <w:ind w:left="720"/>
    </w:pPr>
    <w:rPr>
      <w:rFonts w:ascii="Calibri" w:hAnsi="Calibri" w:cs="Calibri"/>
    </w:rPr>
  </w:style>
  <w:style w:type="paragraph" w:styleId="FootnoteText">
    <w:name w:val="footnote text"/>
    <w:basedOn w:val="Normal"/>
    <w:link w:val="FootnoteTextChar"/>
    <w:uiPriority w:val="99"/>
    <w:unhideWhenUsed/>
    <w:rsid w:val="00FE3EC3"/>
    <w:pPr>
      <w:spacing w:after="0" w:line="240" w:lineRule="auto"/>
    </w:pPr>
    <w:rPr>
      <w:sz w:val="20"/>
      <w:szCs w:val="20"/>
    </w:rPr>
  </w:style>
  <w:style w:type="character" w:customStyle="1" w:styleId="FootnoteTextChar">
    <w:name w:val="Footnote Text Char"/>
    <w:basedOn w:val="DefaultParagraphFont"/>
    <w:link w:val="FootnoteText"/>
    <w:uiPriority w:val="99"/>
    <w:rsid w:val="00FE3EC3"/>
    <w:rPr>
      <w:sz w:val="20"/>
      <w:szCs w:val="20"/>
    </w:rPr>
  </w:style>
  <w:style w:type="character" w:styleId="FootnoteReference">
    <w:name w:val="footnote reference"/>
    <w:basedOn w:val="DefaultParagraphFont"/>
    <w:uiPriority w:val="99"/>
    <w:unhideWhenUsed/>
    <w:rsid w:val="00FE3EC3"/>
    <w:rPr>
      <w:vertAlign w:val="superscript"/>
    </w:rPr>
  </w:style>
  <w:style w:type="character" w:customStyle="1" w:styleId="Heading2Char">
    <w:name w:val="Heading 2 Char"/>
    <w:basedOn w:val="DefaultParagraphFont"/>
    <w:link w:val="Heading2"/>
    <w:rsid w:val="00850DE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F1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0D8"/>
  </w:style>
  <w:style w:type="paragraph" w:styleId="Footer">
    <w:name w:val="footer"/>
    <w:basedOn w:val="Normal"/>
    <w:link w:val="FooterChar"/>
    <w:uiPriority w:val="99"/>
    <w:unhideWhenUsed/>
    <w:rsid w:val="006F1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0D8"/>
  </w:style>
  <w:style w:type="character" w:styleId="CommentReference">
    <w:name w:val="annotation reference"/>
    <w:basedOn w:val="DefaultParagraphFont"/>
    <w:uiPriority w:val="99"/>
    <w:semiHidden/>
    <w:unhideWhenUsed/>
    <w:rsid w:val="00394E24"/>
    <w:rPr>
      <w:sz w:val="16"/>
      <w:szCs w:val="16"/>
    </w:rPr>
  </w:style>
  <w:style w:type="paragraph" w:styleId="CommentText">
    <w:name w:val="annotation text"/>
    <w:basedOn w:val="Normal"/>
    <w:link w:val="CommentTextChar"/>
    <w:uiPriority w:val="99"/>
    <w:unhideWhenUsed/>
    <w:rsid w:val="00394E24"/>
    <w:pPr>
      <w:spacing w:line="240" w:lineRule="auto"/>
    </w:pPr>
    <w:rPr>
      <w:sz w:val="20"/>
      <w:szCs w:val="20"/>
    </w:rPr>
  </w:style>
  <w:style w:type="character" w:customStyle="1" w:styleId="CommentTextChar">
    <w:name w:val="Comment Text Char"/>
    <w:basedOn w:val="DefaultParagraphFont"/>
    <w:link w:val="CommentText"/>
    <w:uiPriority w:val="99"/>
    <w:rsid w:val="00394E24"/>
    <w:rPr>
      <w:sz w:val="20"/>
      <w:szCs w:val="20"/>
    </w:rPr>
  </w:style>
  <w:style w:type="paragraph" w:styleId="CommentSubject">
    <w:name w:val="annotation subject"/>
    <w:basedOn w:val="CommentText"/>
    <w:next w:val="CommentText"/>
    <w:link w:val="CommentSubjectChar"/>
    <w:uiPriority w:val="99"/>
    <w:semiHidden/>
    <w:unhideWhenUsed/>
    <w:rsid w:val="00394E24"/>
    <w:rPr>
      <w:b/>
      <w:bCs/>
    </w:rPr>
  </w:style>
  <w:style w:type="character" w:customStyle="1" w:styleId="CommentSubjectChar">
    <w:name w:val="Comment Subject Char"/>
    <w:basedOn w:val="CommentTextChar"/>
    <w:link w:val="CommentSubject"/>
    <w:uiPriority w:val="99"/>
    <w:semiHidden/>
    <w:rsid w:val="00394E24"/>
    <w:rPr>
      <w:b/>
      <w:bCs/>
      <w:sz w:val="20"/>
      <w:szCs w:val="20"/>
    </w:rPr>
  </w:style>
  <w:style w:type="paragraph" w:styleId="BalloonText">
    <w:name w:val="Balloon Text"/>
    <w:basedOn w:val="Normal"/>
    <w:link w:val="BalloonTextChar"/>
    <w:uiPriority w:val="99"/>
    <w:semiHidden/>
    <w:unhideWhenUsed/>
    <w:rsid w:val="00394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E24"/>
    <w:rPr>
      <w:rFonts w:ascii="Segoe UI" w:hAnsi="Segoe UI" w:cs="Segoe UI"/>
      <w:sz w:val="18"/>
      <w:szCs w:val="18"/>
    </w:rPr>
  </w:style>
  <w:style w:type="paragraph" w:styleId="NoSpacing">
    <w:name w:val="No Spacing"/>
    <w:link w:val="NoSpacingChar"/>
    <w:uiPriority w:val="1"/>
    <w:qFormat/>
    <w:rsid w:val="009D4FC5"/>
    <w:pPr>
      <w:spacing w:after="0" w:line="240" w:lineRule="auto"/>
    </w:pPr>
    <w:rPr>
      <w:rFonts w:eastAsiaTheme="minorEastAsia"/>
    </w:rPr>
  </w:style>
  <w:style w:type="character" w:customStyle="1" w:styleId="NoSpacingChar">
    <w:name w:val="No Spacing Char"/>
    <w:basedOn w:val="DefaultParagraphFont"/>
    <w:link w:val="NoSpacing"/>
    <w:uiPriority w:val="1"/>
    <w:rsid w:val="009D4FC5"/>
    <w:rPr>
      <w:rFonts w:eastAsiaTheme="minorEastAsia"/>
    </w:rPr>
  </w:style>
  <w:style w:type="character" w:styleId="PlaceholderText">
    <w:name w:val="Placeholder Text"/>
    <w:basedOn w:val="DefaultParagraphFont"/>
    <w:uiPriority w:val="99"/>
    <w:semiHidden/>
    <w:rsid w:val="00E96906"/>
    <w:rPr>
      <w:color w:val="808080"/>
    </w:rPr>
  </w:style>
  <w:style w:type="character" w:styleId="FollowedHyperlink">
    <w:name w:val="FollowedHyperlink"/>
    <w:basedOn w:val="DefaultParagraphFont"/>
    <w:uiPriority w:val="99"/>
    <w:semiHidden/>
    <w:unhideWhenUsed/>
    <w:rsid w:val="00021BC8"/>
    <w:rPr>
      <w:color w:val="954F72" w:themeColor="followedHyperlink"/>
      <w:u w:val="single"/>
    </w:rPr>
  </w:style>
  <w:style w:type="table" w:styleId="TableGrid">
    <w:name w:val="Table Grid"/>
    <w:basedOn w:val="TableNormal"/>
    <w:uiPriority w:val="39"/>
    <w:rsid w:val="0061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2DC6"/>
    <w:pPr>
      <w:spacing w:after="0" w:line="240" w:lineRule="auto"/>
    </w:pPr>
  </w:style>
  <w:style w:type="paragraph" w:customStyle="1" w:styleId="ZCom">
    <w:name w:val="Z_Com"/>
    <w:basedOn w:val="Normal"/>
    <w:next w:val="ZDGName"/>
    <w:uiPriority w:val="99"/>
    <w:rsid w:val="00232C88"/>
    <w:pPr>
      <w:widowControl w:val="0"/>
      <w:autoSpaceDE w:val="0"/>
      <w:autoSpaceDN w:val="0"/>
      <w:spacing w:after="0" w:line="240" w:lineRule="auto"/>
      <w:ind w:right="85"/>
      <w:jc w:val="both"/>
    </w:pPr>
    <w:rPr>
      <w:rFonts w:ascii="Arial" w:eastAsiaTheme="minorEastAsia" w:hAnsi="Arial" w:cs="Arial"/>
      <w:sz w:val="24"/>
      <w:szCs w:val="24"/>
      <w:lang w:val="en-GB" w:eastAsia="en-GB"/>
    </w:rPr>
  </w:style>
  <w:style w:type="paragraph" w:customStyle="1" w:styleId="ZDGName">
    <w:name w:val="Z_DGName"/>
    <w:basedOn w:val="Normal"/>
    <w:uiPriority w:val="99"/>
    <w:rsid w:val="00232C88"/>
    <w:pPr>
      <w:widowControl w:val="0"/>
      <w:autoSpaceDE w:val="0"/>
      <w:autoSpaceDN w:val="0"/>
      <w:spacing w:after="0" w:line="240" w:lineRule="auto"/>
      <w:ind w:right="85"/>
    </w:pPr>
    <w:rPr>
      <w:rFonts w:ascii="Arial" w:eastAsiaTheme="minorEastAsia" w:hAnsi="Arial" w:cs="Arial"/>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88614">
      <w:bodyDiv w:val="1"/>
      <w:marLeft w:val="0"/>
      <w:marRight w:val="0"/>
      <w:marTop w:val="0"/>
      <w:marBottom w:val="0"/>
      <w:divBdr>
        <w:top w:val="none" w:sz="0" w:space="0" w:color="auto"/>
        <w:left w:val="none" w:sz="0" w:space="0" w:color="auto"/>
        <w:bottom w:val="none" w:sz="0" w:space="0" w:color="auto"/>
        <w:right w:val="none" w:sz="0" w:space="0" w:color="auto"/>
      </w:divBdr>
    </w:div>
    <w:div w:id="78986431">
      <w:bodyDiv w:val="1"/>
      <w:marLeft w:val="0"/>
      <w:marRight w:val="0"/>
      <w:marTop w:val="0"/>
      <w:marBottom w:val="0"/>
      <w:divBdr>
        <w:top w:val="none" w:sz="0" w:space="0" w:color="auto"/>
        <w:left w:val="none" w:sz="0" w:space="0" w:color="auto"/>
        <w:bottom w:val="none" w:sz="0" w:space="0" w:color="auto"/>
        <w:right w:val="none" w:sz="0" w:space="0" w:color="auto"/>
      </w:divBdr>
    </w:div>
    <w:div w:id="136921277">
      <w:bodyDiv w:val="1"/>
      <w:marLeft w:val="0"/>
      <w:marRight w:val="0"/>
      <w:marTop w:val="0"/>
      <w:marBottom w:val="0"/>
      <w:divBdr>
        <w:top w:val="none" w:sz="0" w:space="0" w:color="auto"/>
        <w:left w:val="none" w:sz="0" w:space="0" w:color="auto"/>
        <w:bottom w:val="none" w:sz="0" w:space="0" w:color="auto"/>
        <w:right w:val="none" w:sz="0" w:space="0" w:color="auto"/>
      </w:divBdr>
    </w:div>
    <w:div w:id="149179633">
      <w:bodyDiv w:val="1"/>
      <w:marLeft w:val="0"/>
      <w:marRight w:val="0"/>
      <w:marTop w:val="0"/>
      <w:marBottom w:val="0"/>
      <w:divBdr>
        <w:top w:val="none" w:sz="0" w:space="0" w:color="auto"/>
        <w:left w:val="none" w:sz="0" w:space="0" w:color="auto"/>
        <w:bottom w:val="none" w:sz="0" w:space="0" w:color="auto"/>
        <w:right w:val="none" w:sz="0" w:space="0" w:color="auto"/>
      </w:divBdr>
    </w:div>
    <w:div w:id="262492649">
      <w:bodyDiv w:val="1"/>
      <w:marLeft w:val="0"/>
      <w:marRight w:val="0"/>
      <w:marTop w:val="0"/>
      <w:marBottom w:val="0"/>
      <w:divBdr>
        <w:top w:val="none" w:sz="0" w:space="0" w:color="auto"/>
        <w:left w:val="none" w:sz="0" w:space="0" w:color="auto"/>
        <w:bottom w:val="none" w:sz="0" w:space="0" w:color="auto"/>
        <w:right w:val="none" w:sz="0" w:space="0" w:color="auto"/>
      </w:divBdr>
    </w:div>
    <w:div w:id="340161764">
      <w:bodyDiv w:val="1"/>
      <w:marLeft w:val="0"/>
      <w:marRight w:val="0"/>
      <w:marTop w:val="0"/>
      <w:marBottom w:val="0"/>
      <w:divBdr>
        <w:top w:val="none" w:sz="0" w:space="0" w:color="auto"/>
        <w:left w:val="none" w:sz="0" w:space="0" w:color="auto"/>
        <w:bottom w:val="none" w:sz="0" w:space="0" w:color="auto"/>
        <w:right w:val="none" w:sz="0" w:space="0" w:color="auto"/>
      </w:divBdr>
    </w:div>
    <w:div w:id="370496230">
      <w:bodyDiv w:val="1"/>
      <w:marLeft w:val="0"/>
      <w:marRight w:val="0"/>
      <w:marTop w:val="0"/>
      <w:marBottom w:val="0"/>
      <w:divBdr>
        <w:top w:val="none" w:sz="0" w:space="0" w:color="auto"/>
        <w:left w:val="none" w:sz="0" w:space="0" w:color="auto"/>
        <w:bottom w:val="none" w:sz="0" w:space="0" w:color="auto"/>
        <w:right w:val="none" w:sz="0" w:space="0" w:color="auto"/>
      </w:divBdr>
    </w:div>
    <w:div w:id="537622630">
      <w:bodyDiv w:val="1"/>
      <w:marLeft w:val="0"/>
      <w:marRight w:val="0"/>
      <w:marTop w:val="0"/>
      <w:marBottom w:val="0"/>
      <w:divBdr>
        <w:top w:val="none" w:sz="0" w:space="0" w:color="auto"/>
        <w:left w:val="none" w:sz="0" w:space="0" w:color="auto"/>
        <w:bottom w:val="none" w:sz="0" w:space="0" w:color="auto"/>
        <w:right w:val="none" w:sz="0" w:space="0" w:color="auto"/>
      </w:divBdr>
    </w:div>
    <w:div w:id="543636580">
      <w:bodyDiv w:val="1"/>
      <w:marLeft w:val="0"/>
      <w:marRight w:val="0"/>
      <w:marTop w:val="0"/>
      <w:marBottom w:val="0"/>
      <w:divBdr>
        <w:top w:val="none" w:sz="0" w:space="0" w:color="auto"/>
        <w:left w:val="none" w:sz="0" w:space="0" w:color="auto"/>
        <w:bottom w:val="none" w:sz="0" w:space="0" w:color="auto"/>
        <w:right w:val="none" w:sz="0" w:space="0" w:color="auto"/>
      </w:divBdr>
    </w:div>
    <w:div w:id="865369369">
      <w:bodyDiv w:val="1"/>
      <w:marLeft w:val="0"/>
      <w:marRight w:val="0"/>
      <w:marTop w:val="0"/>
      <w:marBottom w:val="0"/>
      <w:divBdr>
        <w:top w:val="none" w:sz="0" w:space="0" w:color="auto"/>
        <w:left w:val="none" w:sz="0" w:space="0" w:color="auto"/>
        <w:bottom w:val="none" w:sz="0" w:space="0" w:color="auto"/>
        <w:right w:val="none" w:sz="0" w:space="0" w:color="auto"/>
      </w:divBdr>
    </w:div>
    <w:div w:id="878786669">
      <w:bodyDiv w:val="1"/>
      <w:marLeft w:val="0"/>
      <w:marRight w:val="0"/>
      <w:marTop w:val="0"/>
      <w:marBottom w:val="0"/>
      <w:divBdr>
        <w:top w:val="none" w:sz="0" w:space="0" w:color="auto"/>
        <w:left w:val="none" w:sz="0" w:space="0" w:color="auto"/>
        <w:bottom w:val="none" w:sz="0" w:space="0" w:color="auto"/>
        <w:right w:val="none" w:sz="0" w:space="0" w:color="auto"/>
      </w:divBdr>
    </w:div>
    <w:div w:id="907307041">
      <w:bodyDiv w:val="1"/>
      <w:marLeft w:val="0"/>
      <w:marRight w:val="0"/>
      <w:marTop w:val="0"/>
      <w:marBottom w:val="0"/>
      <w:divBdr>
        <w:top w:val="none" w:sz="0" w:space="0" w:color="auto"/>
        <w:left w:val="none" w:sz="0" w:space="0" w:color="auto"/>
        <w:bottom w:val="none" w:sz="0" w:space="0" w:color="auto"/>
        <w:right w:val="none" w:sz="0" w:space="0" w:color="auto"/>
      </w:divBdr>
    </w:div>
    <w:div w:id="983242128">
      <w:bodyDiv w:val="1"/>
      <w:marLeft w:val="0"/>
      <w:marRight w:val="0"/>
      <w:marTop w:val="0"/>
      <w:marBottom w:val="0"/>
      <w:divBdr>
        <w:top w:val="none" w:sz="0" w:space="0" w:color="auto"/>
        <w:left w:val="none" w:sz="0" w:space="0" w:color="auto"/>
        <w:bottom w:val="none" w:sz="0" w:space="0" w:color="auto"/>
        <w:right w:val="none" w:sz="0" w:space="0" w:color="auto"/>
      </w:divBdr>
    </w:div>
    <w:div w:id="1089890879">
      <w:bodyDiv w:val="1"/>
      <w:marLeft w:val="0"/>
      <w:marRight w:val="0"/>
      <w:marTop w:val="0"/>
      <w:marBottom w:val="0"/>
      <w:divBdr>
        <w:top w:val="none" w:sz="0" w:space="0" w:color="auto"/>
        <w:left w:val="none" w:sz="0" w:space="0" w:color="auto"/>
        <w:bottom w:val="none" w:sz="0" w:space="0" w:color="auto"/>
        <w:right w:val="none" w:sz="0" w:space="0" w:color="auto"/>
      </w:divBdr>
    </w:div>
    <w:div w:id="1158309002">
      <w:bodyDiv w:val="1"/>
      <w:marLeft w:val="0"/>
      <w:marRight w:val="0"/>
      <w:marTop w:val="0"/>
      <w:marBottom w:val="0"/>
      <w:divBdr>
        <w:top w:val="none" w:sz="0" w:space="0" w:color="auto"/>
        <w:left w:val="none" w:sz="0" w:space="0" w:color="auto"/>
        <w:bottom w:val="none" w:sz="0" w:space="0" w:color="auto"/>
        <w:right w:val="none" w:sz="0" w:space="0" w:color="auto"/>
      </w:divBdr>
    </w:div>
    <w:div w:id="1272323861">
      <w:bodyDiv w:val="1"/>
      <w:marLeft w:val="0"/>
      <w:marRight w:val="0"/>
      <w:marTop w:val="0"/>
      <w:marBottom w:val="0"/>
      <w:divBdr>
        <w:top w:val="none" w:sz="0" w:space="0" w:color="auto"/>
        <w:left w:val="none" w:sz="0" w:space="0" w:color="auto"/>
        <w:bottom w:val="none" w:sz="0" w:space="0" w:color="auto"/>
        <w:right w:val="none" w:sz="0" w:space="0" w:color="auto"/>
      </w:divBdr>
    </w:div>
    <w:div w:id="1386299456">
      <w:bodyDiv w:val="1"/>
      <w:marLeft w:val="0"/>
      <w:marRight w:val="0"/>
      <w:marTop w:val="0"/>
      <w:marBottom w:val="0"/>
      <w:divBdr>
        <w:top w:val="none" w:sz="0" w:space="0" w:color="auto"/>
        <w:left w:val="none" w:sz="0" w:space="0" w:color="auto"/>
        <w:bottom w:val="none" w:sz="0" w:space="0" w:color="auto"/>
        <w:right w:val="none" w:sz="0" w:space="0" w:color="auto"/>
      </w:divBdr>
    </w:div>
    <w:div w:id="1680542243">
      <w:bodyDiv w:val="1"/>
      <w:marLeft w:val="0"/>
      <w:marRight w:val="0"/>
      <w:marTop w:val="0"/>
      <w:marBottom w:val="0"/>
      <w:divBdr>
        <w:top w:val="none" w:sz="0" w:space="0" w:color="auto"/>
        <w:left w:val="none" w:sz="0" w:space="0" w:color="auto"/>
        <w:bottom w:val="none" w:sz="0" w:space="0" w:color="auto"/>
        <w:right w:val="none" w:sz="0" w:space="0" w:color="auto"/>
      </w:divBdr>
    </w:div>
    <w:div w:id="1711148435">
      <w:bodyDiv w:val="1"/>
      <w:marLeft w:val="0"/>
      <w:marRight w:val="0"/>
      <w:marTop w:val="0"/>
      <w:marBottom w:val="0"/>
      <w:divBdr>
        <w:top w:val="none" w:sz="0" w:space="0" w:color="auto"/>
        <w:left w:val="none" w:sz="0" w:space="0" w:color="auto"/>
        <w:bottom w:val="none" w:sz="0" w:space="0" w:color="auto"/>
        <w:right w:val="none" w:sz="0" w:space="0" w:color="auto"/>
      </w:divBdr>
    </w:div>
    <w:div w:id="1885365231">
      <w:bodyDiv w:val="1"/>
      <w:marLeft w:val="0"/>
      <w:marRight w:val="0"/>
      <w:marTop w:val="0"/>
      <w:marBottom w:val="0"/>
      <w:divBdr>
        <w:top w:val="none" w:sz="0" w:space="0" w:color="auto"/>
        <w:left w:val="none" w:sz="0" w:space="0" w:color="auto"/>
        <w:bottom w:val="none" w:sz="0" w:space="0" w:color="auto"/>
        <w:right w:val="none" w:sz="0" w:space="0" w:color="auto"/>
      </w:divBdr>
    </w:div>
    <w:div w:id="1886135690">
      <w:bodyDiv w:val="1"/>
      <w:marLeft w:val="0"/>
      <w:marRight w:val="0"/>
      <w:marTop w:val="0"/>
      <w:marBottom w:val="0"/>
      <w:divBdr>
        <w:top w:val="none" w:sz="0" w:space="0" w:color="auto"/>
        <w:left w:val="none" w:sz="0" w:space="0" w:color="auto"/>
        <w:bottom w:val="none" w:sz="0" w:space="0" w:color="auto"/>
        <w:right w:val="none" w:sz="0" w:space="0" w:color="auto"/>
      </w:divBdr>
    </w:div>
    <w:div w:id="190148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fr.bund.de/cm/349/bfr-data-collection-on-processing-factors.pdf" TargetMode="External"/><Relationship Id="rId18" Type="http://schemas.openxmlformats.org/officeDocument/2006/relationships/hyperlink" Target="https://www.efsa.europa.eu/en/supporting/pub/en-1532" TargetMode="External"/><Relationship Id="rId26" Type="http://schemas.openxmlformats.org/officeDocument/2006/relationships/hyperlink" Target="https://www.bfr.bund.de/cm/349/bfr-data-collection-on-processing-factors.pdf" TargetMode="External"/><Relationship Id="rId3" Type="http://schemas.openxmlformats.org/officeDocument/2006/relationships/customXml" Target="../customXml/item3.xml"/><Relationship Id="rId21" Type="http://schemas.openxmlformats.org/officeDocument/2006/relationships/hyperlink" Target="https://zenodo.org/record/1488653"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enodo.org/record/1488653" TargetMode="External"/><Relationship Id="rId17" Type="http://schemas.openxmlformats.org/officeDocument/2006/relationships/hyperlink" Target="http://www.fao.org/agriculture/crops/core-themes/theme/pests/jmpr/jmpr-rep/en/" TargetMode="External"/><Relationship Id="rId25" Type="http://schemas.openxmlformats.org/officeDocument/2006/relationships/hyperlink" Target="https://www.rivm.nl/en/chemkap/fruit-and-vegetables/processing-factor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ecd.org/officialdocuments/publicdisplaydocumentpdf/?cote=ENV/JM/MONO(2009)30&amp;doclanguage=en" TargetMode="External"/><Relationship Id="rId20" Type="http://schemas.openxmlformats.org/officeDocument/2006/relationships/hyperlink" Target="https://www.oecd-ilibrary.org/environment/test-no-508-magnitude-of-the-pesticide-residues-in-processed-commodities_9789264067622-en" TargetMode="External"/><Relationship Id="rId29" Type="http://schemas.openxmlformats.org/officeDocument/2006/relationships/hyperlink" Target="http://www.fao.org/agriculture/crops/core-themes/theme/pests/jmpr/jmpr-rep/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fsa.onlinelibrary.wiley.com/doi/epdf/10.2903/sp.efsa.2018.EN-1508" TargetMode="External"/><Relationship Id="rId24" Type="http://schemas.openxmlformats.org/officeDocument/2006/relationships/hyperlink" Target="https://efsa.onlinelibrary.wiley.com/doi/epdf/10.2903/sp.efsa.2018.EN-1510"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esan.gob.es/AECOSAN/docs/documentos/seguridad_alimentaria/gestion_riesgos/LMR_en_alimentos_transformados.pdf" TargetMode="External"/><Relationship Id="rId23" Type="http://schemas.openxmlformats.org/officeDocument/2006/relationships/hyperlink" Target="https://efsa.onlinelibrary.wiley.com/doi/abs/10.2903/sp.efsa.2018.EN-1509" TargetMode="External"/><Relationship Id="rId28" Type="http://schemas.openxmlformats.org/officeDocument/2006/relationships/hyperlink" Target="https://www.aesan.gob.es/AECOSAN/docs/documentos/seguridad_alimentaria/gestion_riesgos/LMR_en_alimentos_transformados.pdf" TargetMode="External"/><Relationship Id="rId10" Type="http://schemas.openxmlformats.org/officeDocument/2006/relationships/endnotes" Target="endnotes.xml"/><Relationship Id="rId19" Type="http://schemas.openxmlformats.org/officeDocument/2006/relationships/hyperlink" Target="https://ec.europa.eu/food/system/files/2017-02/rasff_reg-guid_sops_wi-2-2_en.pdf" TargetMode="External"/><Relationship Id="rId31" Type="http://schemas.openxmlformats.org/officeDocument/2006/relationships/hyperlink" Target="https://www.oecd.org/officialdocuments/publicdisplaydocumentpdf/?cote=ENV/JM/MONO(2009)30&amp;doclanguage=en" TargetMode="Externa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vm.nl/en/chemkap/fruit-and-vegetables/processing-factors" TargetMode="External"/><Relationship Id="rId22" Type="http://schemas.openxmlformats.org/officeDocument/2006/relationships/hyperlink" Target="https://efsa.onlinelibrary.wiley.com/doi/epdf/10.2903/sp.efsa.2018.EN-1508" TargetMode="External"/><Relationship Id="rId27" Type="http://schemas.openxmlformats.org/officeDocument/2006/relationships/hyperlink" Target="https://www.bfr.bund.de/cm/349/bfr-compilation-of-processing-factors.xlsx" TargetMode="External"/><Relationship Id="rId30" Type="http://schemas.openxmlformats.org/officeDocument/2006/relationships/hyperlink" Target="https://www.oecd-ilibrary.org/environment/test-no-508-magnitude-of-the-pesticide-residues-in-processed-commodities_9789264067622-en" TargetMode="External"/><Relationship Id="rId35" Type="http://schemas.openxmlformats.org/officeDocument/2006/relationships/theme" Target="theme/theme1.xml"/><Relationship Id="rId43"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food/sites/food/files/plant/docs/pesticides_mrl_guidelines_app-d.pdf" TargetMode="External"/><Relationship Id="rId1" Type="http://schemas.openxmlformats.org/officeDocument/2006/relationships/hyperlink" Target="https://eur-lex.europa.eu/legal-content/EN/TXT/?uri=CELEX:52020DC02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4" ma:contentTypeDescription="Create a new document." ma:contentTypeScope="" ma:versionID="20118aab7ed7735836a3d0e2e990b198">
  <xsd:schema xmlns:xsd="http://www.w3.org/2001/XMLSchema" xmlns:xs="http://www.w3.org/2001/XMLSchema" xmlns:p="http://schemas.microsoft.com/office/2006/metadata/properties" xmlns:ns2="a5835c61-ca2e-49ee-8dca-a76e9f0344a3" targetNamespace="http://schemas.microsoft.com/office/2006/metadata/properties" ma:root="true" ma:fieldsID="639ee1b5d2adbcf3b79349dc4850690f" ns2:_="">
    <xsd:import namespace="a5835c61-ca2e-49ee-8dca-a76e9f034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06364-B778-4397-9F43-6F2288056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EC88C-FDE8-4327-9B16-684EDE953834}">
  <ds:schemaRefs>
    <ds:schemaRef ds:uri="http://schemas.microsoft.com/sharepoint/v3/contenttype/forms"/>
  </ds:schemaRefs>
</ds:datastoreItem>
</file>

<file path=customXml/itemProps3.xml><?xml version="1.0" encoding="utf-8"?>
<ds:datastoreItem xmlns:ds="http://schemas.openxmlformats.org/officeDocument/2006/customXml" ds:itemID="{7EB95CB5-D276-4A8D-8DC2-C6ADE3CD267F}">
  <ds:schemaRefs>
    <ds:schemaRef ds:uri="http://schemas.microsoft.com/office/2006/metadata/properties"/>
    <ds:schemaRef ds:uri="a5835c61-ca2e-49ee-8dca-a76e9f0344a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42E19982-D731-4C70-A3E3-171E9B9D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6184</Words>
  <Characters>34570</Characters>
  <Application>Microsoft Office Word</Application>
  <DocSecurity>0</DocSecurity>
  <Lines>664</Lines>
  <Paragraphs>273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40481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SURVA Siret (SANTE)</dc:creator>
  <cp:keywords/>
  <dc:description/>
  <cp:lastModifiedBy>SURVA Siret (SANTE)</cp:lastModifiedBy>
  <cp:revision>2</cp:revision>
  <dcterms:created xsi:type="dcterms:W3CDTF">2021-09-01T15:54:00Z</dcterms:created>
  <dcterms:modified xsi:type="dcterms:W3CDTF">2021-09-01T15:54:00Z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0x0101008B18F24F2D4E8140A461B5DCD99F9D2E</vt:lpwstr>
  </property>
</Properties>
</file>