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0082" w14:textId="23ECDAF6" w:rsidR="005B1343" w:rsidRPr="00B2388A" w:rsidRDefault="0056799E" w:rsidP="00C26F94">
      <w:pPr>
        <w:pStyle w:val="Typedudocument"/>
      </w:pPr>
      <w:r>
        <w:t xml:space="preserve">SANTE </w:t>
      </w:r>
      <w:r w:rsidR="00407731">
        <w:t>PLAN 202</w:t>
      </w:r>
      <w:r w:rsidR="004F7659">
        <w:t>3</w:t>
      </w:r>
      <w:r w:rsidR="006E2F1E">
        <w:t>/2345</w:t>
      </w:r>
      <w:r w:rsidR="004F7659">
        <w:t xml:space="preserve"> </w:t>
      </w:r>
      <w:r w:rsidR="00CB1320" w:rsidRPr="00DA0376">
        <w:t>Rev</w:t>
      </w:r>
      <w:r w:rsidR="009261F0" w:rsidRPr="006E2F1E">
        <w:t>.</w:t>
      </w:r>
      <w:r w:rsidR="004A76C2">
        <w:t>1</w:t>
      </w:r>
    </w:p>
    <w:p w14:paraId="4FDD2CC1" w14:textId="77777777" w:rsidR="00803E1D" w:rsidRPr="00B2388A" w:rsidRDefault="00803E1D" w:rsidP="00C26F94">
      <w:pPr>
        <w:pStyle w:val="Typedudocument"/>
      </w:pPr>
      <w:r w:rsidRPr="00B2388A">
        <w:t>ANNEX</w:t>
      </w:r>
    </w:p>
    <w:p w14:paraId="730AC46C" w14:textId="77777777" w:rsidR="00803E1D" w:rsidRPr="00B2388A" w:rsidRDefault="00803E1D" w:rsidP="00803E1D">
      <w:pPr>
        <w:pStyle w:val="Accompagnant"/>
      </w:pPr>
      <w:r w:rsidRPr="00B2388A">
        <w:t>to the</w:t>
      </w:r>
    </w:p>
    <w:p w14:paraId="7F1E5B0B" w14:textId="77777777" w:rsidR="00803E1D" w:rsidRPr="00B2388A" w:rsidRDefault="00803E1D" w:rsidP="00803E1D">
      <w:pPr>
        <w:pStyle w:val="Typeacteprincipal"/>
      </w:pPr>
      <w:r w:rsidRPr="00B2388A">
        <w:t>COMMISSION REGULATION (EU) No .../...</w:t>
      </w:r>
    </w:p>
    <w:p w14:paraId="4A979FEB" w14:textId="72B3526C" w:rsidR="00803E1D" w:rsidRDefault="00803E1D" w:rsidP="00803E1D">
      <w:pPr>
        <w:pStyle w:val="Objetacteprincipal"/>
      </w:pPr>
      <w:r w:rsidRPr="00B2388A">
        <w:t>amending Regulation (</w:t>
      </w:r>
      <w:r w:rsidRPr="00D04161">
        <w:t>E</w:t>
      </w:r>
      <w:r w:rsidR="0044495F" w:rsidRPr="00D04161">
        <w:t>U</w:t>
      </w:r>
      <w:r w:rsidRPr="00D04161">
        <w:t>)</w:t>
      </w:r>
      <w:r w:rsidR="0044495F" w:rsidRPr="00D04161">
        <w:t xml:space="preserve"> 2023/915</w:t>
      </w:r>
      <w:r w:rsidRPr="00D04161">
        <w:t xml:space="preserve"> as regards </w:t>
      </w:r>
      <w:r w:rsidR="009A42FD" w:rsidRPr="00D04161">
        <w:t>maxi</w:t>
      </w:r>
      <w:r w:rsidR="00060A64" w:rsidRPr="00D04161">
        <w:t xml:space="preserve">mum levels of </w:t>
      </w:r>
      <w:r w:rsidR="004F7659">
        <w:t>mineral oil aromatic hydrocarbons</w:t>
      </w:r>
      <w:r w:rsidR="009A42FD" w:rsidRPr="00D04161">
        <w:t xml:space="preserve"> in certain foodstuffs.</w:t>
      </w:r>
    </w:p>
    <w:p w14:paraId="21B500AC" w14:textId="77777777" w:rsidR="001B538B" w:rsidRPr="001B538B" w:rsidRDefault="001B538B" w:rsidP="001B538B"/>
    <w:p w14:paraId="41AADFD7" w14:textId="77777777" w:rsidR="00487726" w:rsidRPr="00D04161" w:rsidRDefault="00487726" w:rsidP="00487726">
      <w:pPr>
        <w:pStyle w:val="Annexetitre"/>
        <w:rPr>
          <w:b w:val="0"/>
          <w:u w:val="none"/>
        </w:rPr>
      </w:pPr>
      <w:r w:rsidRPr="00D04161">
        <w:rPr>
          <w:b w:val="0"/>
          <w:u w:val="none"/>
        </w:rPr>
        <w:t>ANNEX</w:t>
      </w:r>
    </w:p>
    <w:p w14:paraId="39035432" w14:textId="3464BF16" w:rsidR="00ED33A1" w:rsidRDefault="00407731" w:rsidP="00ED33A1">
      <w:r w:rsidRPr="00D04161">
        <w:t xml:space="preserve">In Section </w:t>
      </w:r>
      <w:r w:rsidR="004F7659">
        <w:t>5</w:t>
      </w:r>
      <w:r w:rsidRPr="00D04161">
        <w:t xml:space="preserve">: </w:t>
      </w:r>
      <w:r w:rsidR="004F7659">
        <w:t>Processing contaminants</w:t>
      </w:r>
      <w:r w:rsidRPr="00D04161">
        <w:t xml:space="preserve"> of the Annex to Regulation (EC) No </w:t>
      </w:r>
      <w:r w:rsidR="00E4040B" w:rsidRPr="00D04161">
        <w:t>2023/915</w:t>
      </w:r>
      <w:r w:rsidRPr="00D04161">
        <w:t xml:space="preserve">, subsection </w:t>
      </w:r>
      <w:r w:rsidR="004F7659">
        <w:t>5.5 Mineral Oil Aromatic Hydrocarbons is added.</w:t>
      </w:r>
    </w:p>
    <w:p w14:paraId="5DB9C0F1" w14:textId="29B20E77" w:rsidR="00ED33A1" w:rsidRDefault="00ED33A1" w:rsidP="00ED33A1">
      <w:r>
        <w:t>is added:</w:t>
      </w:r>
    </w:p>
    <w:p w14:paraId="2EE1B556" w14:textId="77777777" w:rsidR="004F7659" w:rsidRDefault="004F7659" w:rsidP="00ED33A1"/>
    <w:p w14:paraId="31FCBA7A" w14:textId="020EA7FE" w:rsidR="004F7659" w:rsidRPr="00BD5B7B" w:rsidRDefault="004F7659" w:rsidP="00ED33A1">
      <w:pPr>
        <w:rPr>
          <w:b/>
          <w:bCs/>
        </w:rPr>
      </w:pPr>
      <w:r w:rsidRPr="00BD5B7B">
        <w:rPr>
          <w:b/>
          <w:bCs/>
        </w:rPr>
        <w:t>OPTION 1</w:t>
      </w:r>
    </w:p>
    <w:p w14:paraId="25B8C729" w14:textId="77777777" w:rsidR="00487726" w:rsidRPr="00B2388A" w:rsidRDefault="00487726" w:rsidP="00487726"/>
    <w:tbl>
      <w:tblPr>
        <w:tblStyle w:val="TableGrid"/>
        <w:tblW w:w="149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677"/>
        <w:gridCol w:w="2268"/>
        <w:gridCol w:w="6946"/>
      </w:tblGrid>
      <w:tr w:rsidR="008937B0" w:rsidRPr="00025114" w14:paraId="0F5FF5E3" w14:textId="77777777" w:rsidTr="00BB1C46">
        <w:trPr>
          <w:cantSplit/>
          <w:trHeight w:val="255"/>
        </w:trPr>
        <w:tc>
          <w:tcPr>
            <w:tcW w:w="1101" w:type="dxa"/>
            <w:noWrap/>
          </w:tcPr>
          <w:p w14:paraId="02AE6A2D" w14:textId="0F4D30FA" w:rsidR="008937B0" w:rsidRPr="008937B0" w:rsidRDefault="004F7659" w:rsidP="0093269C">
            <w:pPr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4677" w:type="dxa"/>
          </w:tcPr>
          <w:p w14:paraId="782BF159" w14:textId="68AFEC7A" w:rsidR="008937B0" w:rsidRPr="008937B0" w:rsidRDefault="004F7659" w:rsidP="0093269C">
            <w:pPr>
              <w:rPr>
                <w:b/>
                <w:bCs/>
              </w:rPr>
            </w:pPr>
            <w:r>
              <w:rPr>
                <w:b/>
                <w:bCs/>
              </w:rPr>
              <w:t>Mineral Oil Aromatic Hydrocarbons</w:t>
            </w:r>
            <w:r w:rsidR="007A6BF0">
              <w:rPr>
                <w:b/>
                <w:bCs/>
              </w:rPr>
              <w:t xml:space="preserve"> (</w:t>
            </w:r>
            <w:r w:rsidR="007A6BF0" w:rsidRPr="007A6BF0">
              <w:rPr>
                <w:b/>
                <w:bCs/>
              </w:rPr>
              <w:t>≥C10 to ≤C50</w:t>
            </w:r>
            <w:r w:rsidR="007A6BF0">
              <w:rPr>
                <w:b/>
                <w:bCs/>
              </w:rPr>
              <w:t>)</w:t>
            </w:r>
          </w:p>
        </w:tc>
        <w:tc>
          <w:tcPr>
            <w:tcW w:w="2268" w:type="dxa"/>
            <w:noWrap/>
          </w:tcPr>
          <w:p w14:paraId="48D6E717" w14:textId="403CC623" w:rsidR="008937B0" w:rsidRPr="00025114" w:rsidRDefault="008937B0" w:rsidP="0093269C">
            <w:pPr>
              <w:jc w:val="center"/>
            </w:pPr>
            <w:r w:rsidRPr="00025114">
              <w:rPr>
                <w:b/>
                <w:bCs/>
              </w:rPr>
              <w:t>Maximum levels (mg/kg)</w:t>
            </w:r>
          </w:p>
        </w:tc>
        <w:tc>
          <w:tcPr>
            <w:tcW w:w="6946" w:type="dxa"/>
          </w:tcPr>
          <w:p w14:paraId="776C4354" w14:textId="6531A0F2" w:rsidR="008937B0" w:rsidRPr="00025114" w:rsidRDefault="00ED33A1" w:rsidP="0093269C">
            <w:r w:rsidRPr="00025114">
              <w:rPr>
                <w:b/>
              </w:rPr>
              <w:t>Remarks</w:t>
            </w:r>
          </w:p>
        </w:tc>
      </w:tr>
      <w:tr w:rsidR="00A96249" w:rsidRPr="00025114" w14:paraId="5C5945FD" w14:textId="77777777" w:rsidTr="00BB1C46">
        <w:trPr>
          <w:cantSplit/>
          <w:trHeight w:val="255"/>
        </w:trPr>
        <w:tc>
          <w:tcPr>
            <w:tcW w:w="1101" w:type="dxa"/>
            <w:noWrap/>
          </w:tcPr>
          <w:p w14:paraId="37CA2185" w14:textId="163D22CF" w:rsidR="00A96249" w:rsidRPr="00696CD8" w:rsidRDefault="004F7659" w:rsidP="0093269C">
            <w:r w:rsidRPr="00696CD8">
              <w:lastRenderedPageBreak/>
              <w:t>5.5.1</w:t>
            </w:r>
          </w:p>
        </w:tc>
        <w:tc>
          <w:tcPr>
            <w:tcW w:w="4677" w:type="dxa"/>
          </w:tcPr>
          <w:p w14:paraId="593A459F" w14:textId="4D8438E3" w:rsidR="00BC1CD6" w:rsidRDefault="007D01CE" w:rsidP="00BC1CD6">
            <w:pPr>
              <w:rPr>
                <w:sz w:val="20"/>
                <w:szCs w:val="20"/>
              </w:rPr>
            </w:pPr>
            <w:r w:rsidRPr="007D01CE">
              <w:rPr>
                <w:sz w:val="20"/>
                <w:szCs w:val="20"/>
              </w:rPr>
              <w:t>A</w:t>
            </w:r>
            <w:r w:rsidR="00BC1CD6" w:rsidRPr="007D01CE">
              <w:rPr>
                <w:sz w:val="20"/>
                <w:szCs w:val="20"/>
              </w:rPr>
              <w:t>ni</w:t>
            </w:r>
            <w:r w:rsidR="00BC1CD6" w:rsidRPr="00696CD8">
              <w:rPr>
                <w:sz w:val="20"/>
                <w:szCs w:val="20"/>
              </w:rPr>
              <w:t>mal and vegetable fats and oils, products based thereof and products containing animal based fats and oils.</w:t>
            </w:r>
          </w:p>
          <w:p w14:paraId="769CD332" w14:textId="77777777" w:rsidR="007426EE" w:rsidRPr="00696CD8" w:rsidRDefault="007426EE" w:rsidP="007426EE">
            <w:pPr>
              <w:rPr>
                <w:sz w:val="20"/>
                <w:szCs w:val="20"/>
              </w:rPr>
            </w:pPr>
            <w:r w:rsidRPr="00696CD8">
              <w:rPr>
                <w:sz w:val="20"/>
                <w:szCs w:val="20"/>
              </w:rPr>
              <w:t>Coffee, coffee based products and coffee containing products</w:t>
            </w:r>
          </w:p>
          <w:p w14:paraId="795F1062" w14:textId="5665817E" w:rsidR="007426EE" w:rsidRDefault="007426EE" w:rsidP="007426EE">
            <w:pPr>
              <w:rPr>
                <w:sz w:val="20"/>
                <w:szCs w:val="20"/>
              </w:rPr>
            </w:pPr>
            <w:r w:rsidRPr="00696CD8">
              <w:rPr>
                <w:sz w:val="20"/>
                <w:szCs w:val="20"/>
              </w:rPr>
              <w:t>Tea and herbal infusions</w:t>
            </w:r>
          </w:p>
          <w:p w14:paraId="0F259FF5" w14:textId="211CD26E" w:rsidR="00D53F97" w:rsidRDefault="00D53F97" w:rsidP="007426EE">
            <w:pPr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Food supplements</w:t>
            </w:r>
          </w:p>
          <w:p w14:paraId="5C808D3B" w14:textId="77777777" w:rsidR="00117DB4" w:rsidRPr="00117DB4" w:rsidRDefault="00117DB4" w:rsidP="00117DB4">
            <w:pPr>
              <w:rPr>
                <w:sz w:val="20"/>
                <w:szCs w:val="20"/>
              </w:rPr>
            </w:pPr>
            <w:r w:rsidRPr="00117DB4">
              <w:rPr>
                <w:sz w:val="20"/>
                <w:szCs w:val="20"/>
              </w:rPr>
              <w:t>Infant formulae, follow-on formulae (3) and young-child formulae (4)</w:t>
            </w:r>
          </w:p>
          <w:p w14:paraId="4AB7028D" w14:textId="77777777" w:rsidR="00117DB4" w:rsidRPr="00117DB4" w:rsidRDefault="00117DB4" w:rsidP="00117DB4">
            <w:pPr>
              <w:rPr>
                <w:sz w:val="20"/>
                <w:szCs w:val="20"/>
              </w:rPr>
            </w:pPr>
            <w:r w:rsidRPr="00117DB4">
              <w:rPr>
                <w:sz w:val="20"/>
                <w:szCs w:val="20"/>
              </w:rPr>
              <w:t>Drinks for infants and young children placed on the market and labelled as such</w:t>
            </w:r>
          </w:p>
          <w:p w14:paraId="69E9A733" w14:textId="77777777" w:rsidR="00117DB4" w:rsidRPr="00117DB4" w:rsidRDefault="00117DB4" w:rsidP="00117DB4">
            <w:pPr>
              <w:rPr>
                <w:sz w:val="20"/>
                <w:szCs w:val="20"/>
              </w:rPr>
            </w:pPr>
            <w:r w:rsidRPr="00117DB4">
              <w:rPr>
                <w:sz w:val="20"/>
                <w:szCs w:val="20"/>
              </w:rPr>
              <w:t>Baby food and processed cereal-based food for infants and young children (3)</w:t>
            </w:r>
          </w:p>
          <w:p w14:paraId="3F0E00AA" w14:textId="156E1B89" w:rsidR="00117DB4" w:rsidRPr="007E72FC" w:rsidRDefault="00117DB4" w:rsidP="00117DB4">
            <w:pPr>
              <w:rPr>
                <w:sz w:val="20"/>
                <w:szCs w:val="20"/>
              </w:rPr>
            </w:pPr>
            <w:r w:rsidRPr="00117DB4">
              <w:rPr>
                <w:sz w:val="20"/>
                <w:szCs w:val="20"/>
              </w:rPr>
              <w:t>Food for special medical purposes intended</w:t>
            </w:r>
            <w:r w:rsidR="007E72FC">
              <w:rPr>
                <w:sz w:val="20"/>
                <w:szCs w:val="20"/>
              </w:rPr>
              <w:t xml:space="preserve"> </w:t>
            </w:r>
            <w:r w:rsidRPr="00117DB4">
              <w:rPr>
                <w:sz w:val="20"/>
                <w:szCs w:val="20"/>
              </w:rPr>
              <w:t>for infants and young children (3)</w:t>
            </w:r>
          </w:p>
          <w:p w14:paraId="734295FA" w14:textId="76FB549C" w:rsidR="00117DB4" w:rsidRDefault="00583AC2" w:rsidP="007426EE">
            <w:pPr>
              <w:rPr>
                <w:sz w:val="20"/>
                <w:szCs w:val="20"/>
              </w:rPr>
            </w:pPr>
            <w:r w:rsidRPr="00583AC2">
              <w:rPr>
                <w:sz w:val="20"/>
                <w:szCs w:val="20"/>
              </w:rPr>
              <w:t>Cereal grains, cereal based products and cereal containing products</w:t>
            </w:r>
          </w:p>
          <w:p w14:paraId="7F9432D9" w14:textId="3C752895" w:rsidR="00BF51B3" w:rsidRPr="00BF51B3" w:rsidRDefault="00884B3D" w:rsidP="00BF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Pulses</w:t>
            </w:r>
            <w:r w:rsidR="00BF51B3" w:rsidRPr="00BF51B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pulses</w:t>
            </w:r>
            <w:r w:rsidR="00BF51B3" w:rsidRPr="00BF51B3">
              <w:rPr>
                <w:sz w:val="20"/>
                <w:szCs w:val="20"/>
              </w:rPr>
              <w:t xml:space="preserve"> based products and </w:t>
            </w:r>
            <w:r>
              <w:rPr>
                <w:sz w:val="20"/>
                <w:szCs w:val="20"/>
              </w:rPr>
              <w:t xml:space="preserve">pulses </w:t>
            </w:r>
            <w:r w:rsidR="00BF51B3" w:rsidRPr="00BF51B3">
              <w:rPr>
                <w:sz w:val="20"/>
                <w:szCs w:val="20"/>
              </w:rPr>
              <w:t>containing products</w:t>
            </w:r>
          </w:p>
          <w:p w14:paraId="736FB241" w14:textId="6E2B24A5" w:rsidR="00BF51B3" w:rsidRPr="00BF51B3" w:rsidRDefault="00283483" w:rsidP="00BF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 n</w:t>
            </w:r>
            <w:r w:rsidR="00BF51B3" w:rsidRPr="00BF51B3">
              <w:rPr>
                <w:sz w:val="20"/>
                <w:szCs w:val="20"/>
              </w:rPr>
              <w:t xml:space="preserve">uts, </w:t>
            </w:r>
            <w:r>
              <w:rPr>
                <w:sz w:val="20"/>
                <w:szCs w:val="20"/>
              </w:rPr>
              <w:t xml:space="preserve">tree nut </w:t>
            </w:r>
            <w:r w:rsidR="00BF51B3" w:rsidRPr="00BF51B3">
              <w:rPr>
                <w:sz w:val="20"/>
                <w:szCs w:val="20"/>
              </w:rPr>
              <w:t xml:space="preserve">based products and </w:t>
            </w:r>
            <w:r>
              <w:rPr>
                <w:sz w:val="20"/>
                <w:szCs w:val="20"/>
              </w:rPr>
              <w:t xml:space="preserve">tree </w:t>
            </w:r>
            <w:r w:rsidR="00BF51B3" w:rsidRPr="00BF51B3">
              <w:rPr>
                <w:sz w:val="20"/>
                <w:szCs w:val="20"/>
              </w:rPr>
              <w:t>nuts containing products</w:t>
            </w:r>
          </w:p>
          <w:p w14:paraId="22E9D4C4" w14:textId="64873C39" w:rsidR="00BF51B3" w:rsidRDefault="00BF51B3" w:rsidP="007426EE">
            <w:pPr>
              <w:rPr>
                <w:sz w:val="20"/>
                <w:szCs w:val="20"/>
              </w:rPr>
            </w:pPr>
            <w:r w:rsidRPr="00BF51B3">
              <w:rPr>
                <w:sz w:val="20"/>
                <w:szCs w:val="20"/>
              </w:rPr>
              <w:t>Oilseeds, oilseed based products and oilseed containing products</w:t>
            </w:r>
          </w:p>
          <w:p w14:paraId="331E35CB" w14:textId="79B531C0" w:rsidR="007D01CE" w:rsidRPr="00696CD8" w:rsidRDefault="007D01CE" w:rsidP="00742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Oil fruits, oil fruits based products and oil fruit containing products.</w:t>
            </w:r>
          </w:p>
          <w:p w14:paraId="4B336047" w14:textId="54B3C3B6" w:rsidR="0029322D" w:rsidRPr="00824A3E" w:rsidRDefault="0029322D" w:rsidP="0093269C">
            <w:pPr>
              <w:rPr>
                <w:sz w:val="20"/>
                <w:szCs w:val="20"/>
              </w:rPr>
            </w:pPr>
            <w:bookmarkStart w:id="0" w:name="_Hlk148456048"/>
            <w:r w:rsidRPr="00824A3E">
              <w:rPr>
                <w:sz w:val="20"/>
                <w:szCs w:val="20"/>
              </w:rPr>
              <w:t>Cocoa beans, cocoa based products and cocoa containing products</w:t>
            </w:r>
            <w:r w:rsidR="0034114F" w:rsidRPr="00824A3E">
              <w:rPr>
                <w:sz w:val="20"/>
                <w:szCs w:val="20"/>
              </w:rPr>
              <w:t xml:space="preserve"> (14)</w:t>
            </w:r>
          </w:p>
          <w:p w14:paraId="708CB29C" w14:textId="55314F8D" w:rsidR="00302BC6" w:rsidRPr="00824A3E" w:rsidRDefault="00824A3E" w:rsidP="0093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2BC6" w:rsidRPr="00824A3E">
              <w:rPr>
                <w:sz w:val="20"/>
                <w:szCs w:val="20"/>
              </w:rPr>
              <w:t>ugar containing products and confectionary</w:t>
            </w:r>
          </w:p>
          <w:bookmarkEnd w:id="0"/>
          <w:p w14:paraId="421F8409" w14:textId="3F13B43A" w:rsidR="00D53F97" w:rsidRPr="00824A3E" w:rsidRDefault="00D53F97" w:rsidP="00D53F97">
            <w:pPr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 xml:space="preserve">Spices </w:t>
            </w:r>
            <w:r w:rsidR="00653D2A">
              <w:rPr>
                <w:sz w:val="20"/>
                <w:szCs w:val="20"/>
              </w:rPr>
              <w:t xml:space="preserve">and </w:t>
            </w:r>
            <w:r w:rsidR="00653D2A" w:rsidRPr="007D01CE">
              <w:rPr>
                <w:sz w:val="20"/>
                <w:szCs w:val="20"/>
              </w:rPr>
              <w:t>dried herbs</w:t>
            </w:r>
          </w:p>
          <w:p w14:paraId="1FC7D3DD" w14:textId="77777777" w:rsidR="00302BC6" w:rsidRPr="00696CD8" w:rsidRDefault="00302BC6" w:rsidP="0093269C">
            <w:pPr>
              <w:rPr>
                <w:sz w:val="20"/>
                <w:szCs w:val="20"/>
              </w:rPr>
            </w:pPr>
          </w:p>
          <w:p w14:paraId="6074C561" w14:textId="71B228B4" w:rsidR="006839C8" w:rsidRPr="00696CD8" w:rsidRDefault="006839C8" w:rsidP="009326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14:paraId="7AC500D0" w14:textId="77777777" w:rsidR="00A96249" w:rsidRPr="00C85405" w:rsidRDefault="00A96249" w:rsidP="0093269C">
            <w:pPr>
              <w:jc w:val="center"/>
            </w:pPr>
          </w:p>
        </w:tc>
        <w:tc>
          <w:tcPr>
            <w:tcW w:w="6946" w:type="dxa"/>
          </w:tcPr>
          <w:p w14:paraId="72BD1EF3" w14:textId="734569AB" w:rsidR="00A96249" w:rsidRPr="00A96249" w:rsidRDefault="00A96249" w:rsidP="0093269C">
            <w:pPr>
              <w:rPr>
                <w:color w:val="FF0000"/>
              </w:rPr>
            </w:pPr>
          </w:p>
        </w:tc>
      </w:tr>
      <w:tr w:rsidR="00BF51B3" w:rsidRPr="00025114" w14:paraId="74346ACA" w14:textId="77777777" w:rsidTr="00BB1C46">
        <w:trPr>
          <w:cantSplit/>
          <w:trHeight w:val="255"/>
        </w:trPr>
        <w:tc>
          <w:tcPr>
            <w:tcW w:w="1101" w:type="dxa"/>
            <w:noWrap/>
          </w:tcPr>
          <w:p w14:paraId="4FC4FFCE" w14:textId="4E19272F" w:rsidR="00BF51B3" w:rsidRDefault="00BF51B3" w:rsidP="0093269C"/>
        </w:tc>
        <w:tc>
          <w:tcPr>
            <w:tcW w:w="4677" w:type="dxa"/>
          </w:tcPr>
          <w:p w14:paraId="57AC1172" w14:textId="43E77AAE" w:rsidR="00BF51B3" w:rsidRPr="00824A3E" w:rsidRDefault="00BF51B3" w:rsidP="00BF51B3">
            <w:pPr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Milk and dairy products and products containing dairy</w:t>
            </w:r>
            <w:r w:rsidR="00D53F97">
              <w:rPr>
                <w:sz w:val="20"/>
                <w:szCs w:val="20"/>
              </w:rPr>
              <w:t xml:space="preserve"> (to be discussed)</w:t>
            </w:r>
          </w:p>
          <w:p w14:paraId="68DC7822" w14:textId="68DC07CF" w:rsidR="00BF51B3" w:rsidRPr="00824A3E" w:rsidRDefault="00BF51B3" w:rsidP="00BF51B3">
            <w:pPr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 xml:space="preserve">Processed </w:t>
            </w:r>
            <w:r w:rsidR="00210B7F">
              <w:rPr>
                <w:sz w:val="20"/>
                <w:szCs w:val="20"/>
              </w:rPr>
              <w:t xml:space="preserve">products containing fish and other seafood </w:t>
            </w:r>
            <w:r w:rsidRPr="00824A3E">
              <w:rPr>
                <w:sz w:val="20"/>
                <w:szCs w:val="20"/>
              </w:rPr>
              <w:t>OR smoked and canned fish products</w:t>
            </w:r>
            <w:r w:rsidR="00D53F97">
              <w:rPr>
                <w:sz w:val="20"/>
                <w:szCs w:val="20"/>
              </w:rPr>
              <w:t xml:space="preserve"> (to be discussed)</w:t>
            </w:r>
          </w:p>
          <w:p w14:paraId="3D14A184" w14:textId="5141BCF8" w:rsidR="00BF51B3" w:rsidRPr="00824A3E" w:rsidRDefault="00BF51B3" w:rsidP="00BF51B3">
            <w:pPr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Products containing or based on meat of terrestrial animals</w:t>
            </w:r>
            <w:r w:rsidR="00D53F97">
              <w:rPr>
                <w:sz w:val="20"/>
                <w:szCs w:val="20"/>
              </w:rPr>
              <w:t xml:space="preserve"> (to be discussed)</w:t>
            </w:r>
          </w:p>
          <w:p w14:paraId="6B4591CA" w14:textId="77777777" w:rsidR="00BF51B3" w:rsidRDefault="009C04C1" w:rsidP="0093269C">
            <w:pPr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Composite foods</w:t>
            </w:r>
            <w:r w:rsidR="00D53F97">
              <w:rPr>
                <w:sz w:val="20"/>
                <w:szCs w:val="20"/>
              </w:rPr>
              <w:t xml:space="preserve"> (to be discussed)</w:t>
            </w:r>
          </w:p>
          <w:p w14:paraId="1FFB7DEA" w14:textId="77777777" w:rsidR="00A00018" w:rsidRDefault="00A00018" w:rsidP="0093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Processed products containing fruit or vegetables (to be discussed)</w:t>
            </w:r>
          </w:p>
          <w:p w14:paraId="53966C3C" w14:textId="0DD5F90D" w:rsidR="00A076A0" w:rsidRPr="00FD02F4" w:rsidRDefault="00A076A0" w:rsidP="0093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Processed products containing eggs (to be discussed)</w:t>
            </w:r>
          </w:p>
        </w:tc>
        <w:tc>
          <w:tcPr>
            <w:tcW w:w="2268" w:type="dxa"/>
            <w:noWrap/>
          </w:tcPr>
          <w:p w14:paraId="4CC310F0" w14:textId="77777777" w:rsidR="00BF51B3" w:rsidRDefault="00BF51B3" w:rsidP="0093269C">
            <w:pPr>
              <w:jc w:val="center"/>
            </w:pPr>
          </w:p>
        </w:tc>
        <w:tc>
          <w:tcPr>
            <w:tcW w:w="6946" w:type="dxa"/>
          </w:tcPr>
          <w:p w14:paraId="726DAA8A" w14:textId="77777777" w:rsidR="00BF51B3" w:rsidRPr="0034114F" w:rsidRDefault="00BF51B3" w:rsidP="0093269C">
            <w:pPr>
              <w:rPr>
                <w:color w:val="FF0000"/>
                <w:lang w:val="en-IE"/>
              </w:rPr>
            </w:pPr>
          </w:p>
        </w:tc>
      </w:tr>
      <w:tr w:rsidR="006839C8" w:rsidRPr="00025114" w14:paraId="217003E4" w14:textId="77777777" w:rsidTr="00BB1C46">
        <w:trPr>
          <w:cantSplit/>
          <w:trHeight w:val="255"/>
        </w:trPr>
        <w:tc>
          <w:tcPr>
            <w:tcW w:w="1101" w:type="dxa"/>
            <w:noWrap/>
          </w:tcPr>
          <w:p w14:paraId="3AF174C0" w14:textId="52EE1342" w:rsidR="006839C8" w:rsidRDefault="006839C8" w:rsidP="0093269C">
            <w:r>
              <w:t>5.5.1.1</w:t>
            </w:r>
          </w:p>
        </w:tc>
        <w:tc>
          <w:tcPr>
            <w:tcW w:w="4677" w:type="dxa"/>
          </w:tcPr>
          <w:p w14:paraId="5C18B726" w14:textId="5FD84CE5" w:rsidR="006839C8" w:rsidRPr="006839C8" w:rsidRDefault="006839C8" w:rsidP="0093269C">
            <w:r w:rsidRPr="006839C8">
              <w:t>Products with a fat ≤ 4% fat/oil content</w:t>
            </w:r>
          </w:p>
        </w:tc>
        <w:tc>
          <w:tcPr>
            <w:tcW w:w="2268" w:type="dxa"/>
            <w:noWrap/>
          </w:tcPr>
          <w:p w14:paraId="3B371EFF" w14:textId="7ABBBF4A" w:rsidR="006839C8" w:rsidRPr="00C85405" w:rsidRDefault="006839C8" w:rsidP="0093269C">
            <w:pPr>
              <w:jc w:val="center"/>
            </w:pPr>
            <w:r>
              <w:t>0</w:t>
            </w:r>
            <w:r w:rsidR="00FD02F4">
              <w:t>,50</w:t>
            </w:r>
            <w:r>
              <w:t xml:space="preserve"> mg/kg</w:t>
            </w:r>
          </w:p>
        </w:tc>
        <w:tc>
          <w:tcPr>
            <w:tcW w:w="6946" w:type="dxa"/>
          </w:tcPr>
          <w:p w14:paraId="4CACEF95" w14:textId="467F0598" w:rsidR="006839C8" w:rsidRPr="0034114F" w:rsidRDefault="006839C8" w:rsidP="0093269C">
            <w:pPr>
              <w:rPr>
                <w:color w:val="FF0000"/>
                <w:lang w:val="en-IE"/>
              </w:rPr>
            </w:pPr>
          </w:p>
        </w:tc>
      </w:tr>
      <w:tr w:rsidR="006839C8" w:rsidRPr="00025114" w14:paraId="3FF42EA4" w14:textId="77777777" w:rsidTr="00BB1C46">
        <w:trPr>
          <w:cantSplit/>
          <w:trHeight w:val="255"/>
        </w:trPr>
        <w:tc>
          <w:tcPr>
            <w:tcW w:w="1101" w:type="dxa"/>
            <w:noWrap/>
          </w:tcPr>
          <w:p w14:paraId="55D2E494" w14:textId="765BF6D4" w:rsidR="006839C8" w:rsidRDefault="006839C8" w:rsidP="0093269C">
            <w:r>
              <w:t>5.5.1.2</w:t>
            </w:r>
          </w:p>
        </w:tc>
        <w:tc>
          <w:tcPr>
            <w:tcW w:w="4677" w:type="dxa"/>
          </w:tcPr>
          <w:p w14:paraId="1697DBFB" w14:textId="307F4A8F" w:rsidR="006839C8" w:rsidRPr="006839C8" w:rsidRDefault="006839C8" w:rsidP="0093269C">
            <w:r w:rsidRPr="006839C8">
              <w:t xml:space="preserve">Products with &gt; 4% </w:t>
            </w:r>
            <w:r>
              <w:t xml:space="preserve">and ≤ 50% </w:t>
            </w:r>
            <w:r w:rsidRPr="006839C8">
              <w:t>fat/oil content</w:t>
            </w:r>
          </w:p>
        </w:tc>
        <w:tc>
          <w:tcPr>
            <w:tcW w:w="2268" w:type="dxa"/>
            <w:noWrap/>
          </w:tcPr>
          <w:p w14:paraId="5ADEFA55" w14:textId="25704D65" w:rsidR="006839C8" w:rsidRPr="00C85405" w:rsidRDefault="006839C8" w:rsidP="0093269C">
            <w:pPr>
              <w:jc w:val="center"/>
            </w:pPr>
            <w:r>
              <w:t>1</w:t>
            </w:r>
            <w:r w:rsidR="00FD02F4">
              <w:t>,0</w:t>
            </w:r>
            <w:r>
              <w:t xml:space="preserve"> mg/kg</w:t>
            </w:r>
          </w:p>
        </w:tc>
        <w:tc>
          <w:tcPr>
            <w:tcW w:w="6946" w:type="dxa"/>
          </w:tcPr>
          <w:p w14:paraId="37367A07" w14:textId="48F3A7F4" w:rsidR="006839C8" w:rsidRPr="00A96249" w:rsidRDefault="006839C8" w:rsidP="0093269C">
            <w:pPr>
              <w:rPr>
                <w:color w:val="FF0000"/>
              </w:rPr>
            </w:pPr>
          </w:p>
        </w:tc>
      </w:tr>
      <w:tr w:rsidR="006839C8" w:rsidRPr="00025114" w14:paraId="02C7E30D" w14:textId="77777777" w:rsidTr="00BB1C46">
        <w:trPr>
          <w:cantSplit/>
          <w:trHeight w:val="255"/>
        </w:trPr>
        <w:tc>
          <w:tcPr>
            <w:tcW w:w="1101" w:type="dxa"/>
            <w:noWrap/>
          </w:tcPr>
          <w:p w14:paraId="3AE72C1A" w14:textId="01BD7F5F" w:rsidR="006839C8" w:rsidRDefault="006839C8" w:rsidP="006839C8">
            <w:r>
              <w:t>5.5.1.3</w:t>
            </w:r>
          </w:p>
        </w:tc>
        <w:tc>
          <w:tcPr>
            <w:tcW w:w="4677" w:type="dxa"/>
          </w:tcPr>
          <w:p w14:paraId="5193A63B" w14:textId="7CAFA327" w:rsidR="006839C8" w:rsidRDefault="006839C8" w:rsidP="006839C8">
            <w:pPr>
              <w:rPr>
                <w:b/>
                <w:bCs/>
              </w:rPr>
            </w:pPr>
            <w:r w:rsidRPr="006839C8">
              <w:t xml:space="preserve">Products with </w:t>
            </w:r>
            <w:r>
              <w:t xml:space="preserve">&gt; 50% </w:t>
            </w:r>
            <w:r w:rsidRPr="006839C8">
              <w:t>fat/oil content</w:t>
            </w:r>
          </w:p>
        </w:tc>
        <w:tc>
          <w:tcPr>
            <w:tcW w:w="2268" w:type="dxa"/>
            <w:noWrap/>
          </w:tcPr>
          <w:p w14:paraId="285CF589" w14:textId="57A30EA9" w:rsidR="006839C8" w:rsidRPr="00C85405" w:rsidRDefault="006839C8" w:rsidP="006839C8">
            <w:pPr>
              <w:jc w:val="center"/>
            </w:pPr>
            <w:r>
              <w:t>2</w:t>
            </w:r>
            <w:r w:rsidR="00FD02F4">
              <w:t>,0</w:t>
            </w:r>
            <w:r>
              <w:t xml:space="preserve"> mg/kg</w:t>
            </w:r>
          </w:p>
        </w:tc>
        <w:tc>
          <w:tcPr>
            <w:tcW w:w="6946" w:type="dxa"/>
          </w:tcPr>
          <w:p w14:paraId="114442EB" w14:textId="77777777" w:rsidR="006839C8" w:rsidRPr="00A96249" w:rsidRDefault="006839C8" w:rsidP="006839C8">
            <w:pPr>
              <w:rPr>
                <w:color w:val="FF0000"/>
              </w:rPr>
            </w:pPr>
          </w:p>
        </w:tc>
      </w:tr>
    </w:tbl>
    <w:p w14:paraId="01054B67" w14:textId="77777777" w:rsidR="00FD02F4" w:rsidRDefault="00FD02F4" w:rsidP="004F7659"/>
    <w:p w14:paraId="48C724B9" w14:textId="77777777" w:rsidR="00FD02F4" w:rsidRDefault="00FD02F4">
      <w:pPr>
        <w:spacing w:before="0" w:after="200" w:line="276" w:lineRule="auto"/>
        <w:jc w:val="left"/>
      </w:pPr>
      <w:r>
        <w:br w:type="page"/>
      </w:r>
    </w:p>
    <w:p w14:paraId="711EB1DC" w14:textId="432A4C8A" w:rsidR="004F7659" w:rsidRPr="00BD5B7B" w:rsidRDefault="004F7659" w:rsidP="004F7659">
      <w:pPr>
        <w:rPr>
          <w:b/>
          <w:bCs/>
        </w:rPr>
      </w:pPr>
      <w:r w:rsidRPr="00BD5B7B">
        <w:rPr>
          <w:b/>
          <w:bCs/>
        </w:rPr>
        <w:lastRenderedPageBreak/>
        <w:t>OPTION 2</w:t>
      </w:r>
    </w:p>
    <w:p w14:paraId="419A3F6E" w14:textId="77777777" w:rsidR="004F7659" w:rsidRPr="00B2388A" w:rsidRDefault="004F7659" w:rsidP="004F7659"/>
    <w:tbl>
      <w:tblPr>
        <w:tblStyle w:val="TableGrid"/>
        <w:tblW w:w="149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677"/>
        <w:gridCol w:w="2268"/>
        <w:gridCol w:w="6946"/>
      </w:tblGrid>
      <w:tr w:rsidR="004F7659" w:rsidRPr="00025114" w14:paraId="07F66E1D" w14:textId="77777777" w:rsidTr="00454BA6">
        <w:trPr>
          <w:cantSplit/>
          <w:trHeight w:val="255"/>
        </w:trPr>
        <w:tc>
          <w:tcPr>
            <w:tcW w:w="1101" w:type="dxa"/>
            <w:noWrap/>
          </w:tcPr>
          <w:p w14:paraId="55803833" w14:textId="77777777" w:rsidR="004F7659" w:rsidRPr="008937B0" w:rsidRDefault="004F7659" w:rsidP="00454BA6">
            <w:pPr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4677" w:type="dxa"/>
          </w:tcPr>
          <w:p w14:paraId="32F8E32E" w14:textId="3131D9EC" w:rsidR="004F7659" w:rsidRPr="008937B0" w:rsidRDefault="004F7659" w:rsidP="00454BA6">
            <w:pPr>
              <w:rPr>
                <w:b/>
                <w:bCs/>
              </w:rPr>
            </w:pPr>
            <w:r>
              <w:rPr>
                <w:b/>
                <w:bCs/>
              </w:rPr>
              <w:t>Mineral Oil Aromatic Hydrocarbons</w:t>
            </w:r>
            <w:r w:rsidR="008F455A">
              <w:rPr>
                <w:b/>
                <w:bCs/>
              </w:rPr>
              <w:t xml:space="preserve"> (</w:t>
            </w:r>
            <w:r w:rsidR="008F455A" w:rsidRPr="007A6BF0">
              <w:rPr>
                <w:b/>
                <w:bCs/>
              </w:rPr>
              <w:t>≥C10 to ≤C50</w:t>
            </w:r>
            <w:r w:rsidR="008F455A">
              <w:rPr>
                <w:b/>
                <w:bCs/>
              </w:rPr>
              <w:t>)</w:t>
            </w:r>
          </w:p>
        </w:tc>
        <w:tc>
          <w:tcPr>
            <w:tcW w:w="2268" w:type="dxa"/>
            <w:noWrap/>
          </w:tcPr>
          <w:p w14:paraId="11302FB5" w14:textId="77777777" w:rsidR="004F7659" w:rsidRPr="00025114" w:rsidRDefault="004F7659" w:rsidP="00454BA6">
            <w:pPr>
              <w:jc w:val="center"/>
            </w:pPr>
            <w:r w:rsidRPr="00025114">
              <w:rPr>
                <w:b/>
                <w:bCs/>
              </w:rPr>
              <w:t>Maximum levels (mg/kg)</w:t>
            </w:r>
          </w:p>
        </w:tc>
        <w:tc>
          <w:tcPr>
            <w:tcW w:w="6946" w:type="dxa"/>
          </w:tcPr>
          <w:p w14:paraId="00A2FDFC" w14:textId="77777777" w:rsidR="004F7659" w:rsidRPr="00025114" w:rsidRDefault="004F7659" w:rsidP="00454BA6">
            <w:r w:rsidRPr="00025114">
              <w:rPr>
                <w:b/>
              </w:rPr>
              <w:t>Remarks</w:t>
            </w:r>
          </w:p>
        </w:tc>
      </w:tr>
      <w:tr w:rsidR="004F7659" w:rsidRPr="00025114" w14:paraId="5A650C28" w14:textId="77777777" w:rsidTr="00454BA6">
        <w:trPr>
          <w:cantSplit/>
          <w:trHeight w:val="255"/>
        </w:trPr>
        <w:tc>
          <w:tcPr>
            <w:tcW w:w="1101" w:type="dxa"/>
            <w:noWrap/>
          </w:tcPr>
          <w:p w14:paraId="13EAFF8B" w14:textId="77777777" w:rsidR="004F7659" w:rsidRPr="00C85405" w:rsidRDefault="004F7659" w:rsidP="00454BA6">
            <w:r>
              <w:t>5.5.1</w:t>
            </w:r>
          </w:p>
        </w:tc>
        <w:tc>
          <w:tcPr>
            <w:tcW w:w="4677" w:type="dxa"/>
          </w:tcPr>
          <w:p w14:paraId="395A2E88" w14:textId="68AC1D1A" w:rsidR="004F7659" w:rsidRPr="008D6980" w:rsidRDefault="007A6BF0" w:rsidP="00454B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 foods other than fresh and frozen fruits and vegetables, </w:t>
            </w:r>
            <w:r w:rsidR="00FD02F4">
              <w:rPr>
                <w:b/>
                <w:bCs/>
              </w:rPr>
              <w:t xml:space="preserve">fresh an d frozen </w:t>
            </w:r>
            <w:r>
              <w:rPr>
                <w:b/>
                <w:bCs/>
              </w:rPr>
              <w:t xml:space="preserve">meat and offal of terrestrial animals, </w:t>
            </w:r>
            <w:r w:rsidR="00FD02F4">
              <w:rPr>
                <w:b/>
                <w:bCs/>
              </w:rPr>
              <w:t xml:space="preserve">fresh and frozen </w:t>
            </w:r>
            <w:r>
              <w:rPr>
                <w:b/>
                <w:bCs/>
              </w:rPr>
              <w:t>fish and other seafood.</w:t>
            </w:r>
          </w:p>
        </w:tc>
        <w:tc>
          <w:tcPr>
            <w:tcW w:w="2268" w:type="dxa"/>
            <w:noWrap/>
          </w:tcPr>
          <w:p w14:paraId="53B7EDFC" w14:textId="77777777" w:rsidR="004F7659" w:rsidRPr="00C85405" w:rsidRDefault="004F7659" w:rsidP="00454BA6">
            <w:pPr>
              <w:jc w:val="center"/>
            </w:pPr>
          </w:p>
        </w:tc>
        <w:tc>
          <w:tcPr>
            <w:tcW w:w="6946" w:type="dxa"/>
          </w:tcPr>
          <w:p w14:paraId="5231C525" w14:textId="77777777" w:rsidR="004F7659" w:rsidRPr="00A96249" w:rsidRDefault="004F7659" w:rsidP="00454BA6">
            <w:pPr>
              <w:rPr>
                <w:color w:val="FF0000"/>
              </w:rPr>
            </w:pPr>
          </w:p>
        </w:tc>
      </w:tr>
      <w:tr w:rsidR="00FD02F4" w:rsidRPr="00025114" w14:paraId="618B903B" w14:textId="77777777" w:rsidTr="00454BA6">
        <w:trPr>
          <w:cantSplit/>
          <w:trHeight w:val="255"/>
        </w:trPr>
        <w:tc>
          <w:tcPr>
            <w:tcW w:w="1101" w:type="dxa"/>
            <w:noWrap/>
          </w:tcPr>
          <w:p w14:paraId="71905410" w14:textId="3F9EEC78" w:rsidR="00FD02F4" w:rsidRPr="00C85405" w:rsidRDefault="00FD02F4" w:rsidP="00FD02F4">
            <w:r>
              <w:t>5.5.1.1</w:t>
            </w:r>
          </w:p>
        </w:tc>
        <w:tc>
          <w:tcPr>
            <w:tcW w:w="4677" w:type="dxa"/>
          </w:tcPr>
          <w:p w14:paraId="48F5DB7A" w14:textId="4EE28F7C" w:rsidR="00FD02F4" w:rsidRPr="00C85405" w:rsidRDefault="00FD02F4" w:rsidP="00FD02F4">
            <w:r w:rsidRPr="006839C8">
              <w:t>Products with a fat ≤ 4% fat/oil content</w:t>
            </w:r>
          </w:p>
        </w:tc>
        <w:tc>
          <w:tcPr>
            <w:tcW w:w="2268" w:type="dxa"/>
            <w:noWrap/>
          </w:tcPr>
          <w:p w14:paraId="1AF1C64B" w14:textId="64A7645B" w:rsidR="00FD02F4" w:rsidRPr="00C85405" w:rsidRDefault="00FD02F4" w:rsidP="00FD02F4">
            <w:pPr>
              <w:jc w:val="center"/>
            </w:pPr>
            <w:r>
              <w:t>0,50 mg/kg</w:t>
            </w:r>
          </w:p>
        </w:tc>
        <w:tc>
          <w:tcPr>
            <w:tcW w:w="6946" w:type="dxa"/>
          </w:tcPr>
          <w:p w14:paraId="4850DF19" w14:textId="77777777" w:rsidR="00FD02F4" w:rsidRPr="00A96249" w:rsidRDefault="00FD02F4" w:rsidP="00FD02F4">
            <w:pPr>
              <w:rPr>
                <w:color w:val="FF0000"/>
              </w:rPr>
            </w:pPr>
          </w:p>
        </w:tc>
      </w:tr>
      <w:tr w:rsidR="00FD02F4" w:rsidRPr="00025114" w14:paraId="5889B4D1" w14:textId="77777777" w:rsidTr="00454BA6">
        <w:trPr>
          <w:cantSplit/>
          <w:trHeight w:val="255"/>
        </w:trPr>
        <w:tc>
          <w:tcPr>
            <w:tcW w:w="1101" w:type="dxa"/>
            <w:noWrap/>
          </w:tcPr>
          <w:p w14:paraId="0832B686" w14:textId="04C1EEDF" w:rsidR="00FD02F4" w:rsidRDefault="00FD02F4" w:rsidP="00FD02F4">
            <w:r>
              <w:t>5.5.1.2</w:t>
            </w:r>
          </w:p>
        </w:tc>
        <w:tc>
          <w:tcPr>
            <w:tcW w:w="4677" w:type="dxa"/>
          </w:tcPr>
          <w:p w14:paraId="1C90EFE6" w14:textId="1EF5A580" w:rsidR="00FD02F4" w:rsidRPr="00C85405" w:rsidRDefault="00FD02F4" w:rsidP="00FD02F4">
            <w:r w:rsidRPr="006839C8">
              <w:t xml:space="preserve">Products with &gt; 4% </w:t>
            </w:r>
            <w:r>
              <w:t xml:space="preserve">and ≤ 50% </w:t>
            </w:r>
            <w:r w:rsidRPr="006839C8">
              <w:t>fat/oil content</w:t>
            </w:r>
          </w:p>
        </w:tc>
        <w:tc>
          <w:tcPr>
            <w:tcW w:w="2268" w:type="dxa"/>
            <w:noWrap/>
          </w:tcPr>
          <w:p w14:paraId="7F500D63" w14:textId="50DAD3B9" w:rsidR="00FD02F4" w:rsidRPr="00C85405" w:rsidRDefault="00FD02F4" w:rsidP="00FD02F4">
            <w:pPr>
              <w:jc w:val="center"/>
            </w:pPr>
            <w:r>
              <w:t>1,0 mg/kg</w:t>
            </w:r>
          </w:p>
        </w:tc>
        <w:tc>
          <w:tcPr>
            <w:tcW w:w="6946" w:type="dxa"/>
          </w:tcPr>
          <w:p w14:paraId="3D1E9011" w14:textId="77777777" w:rsidR="00FD02F4" w:rsidRPr="00A96249" w:rsidRDefault="00FD02F4" w:rsidP="00FD02F4">
            <w:pPr>
              <w:rPr>
                <w:color w:val="FF0000"/>
              </w:rPr>
            </w:pPr>
          </w:p>
        </w:tc>
      </w:tr>
      <w:tr w:rsidR="00FD02F4" w:rsidRPr="00025114" w14:paraId="1BC0134E" w14:textId="77777777" w:rsidTr="00454BA6">
        <w:trPr>
          <w:cantSplit/>
          <w:trHeight w:val="255"/>
        </w:trPr>
        <w:tc>
          <w:tcPr>
            <w:tcW w:w="1101" w:type="dxa"/>
            <w:noWrap/>
          </w:tcPr>
          <w:p w14:paraId="2AD84F36" w14:textId="75F95132" w:rsidR="00FD02F4" w:rsidRDefault="00FD02F4" w:rsidP="00FD02F4">
            <w:r>
              <w:t>5.5.1.3</w:t>
            </w:r>
          </w:p>
        </w:tc>
        <w:tc>
          <w:tcPr>
            <w:tcW w:w="4677" w:type="dxa"/>
          </w:tcPr>
          <w:p w14:paraId="47638476" w14:textId="78ACE811" w:rsidR="00FD02F4" w:rsidRPr="00C85405" w:rsidRDefault="00FD02F4" w:rsidP="00FD02F4">
            <w:r w:rsidRPr="006839C8">
              <w:t xml:space="preserve">Products with </w:t>
            </w:r>
            <w:r>
              <w:t xml:space="preserve">&gt; 50% </w:t>
            </w:r>
            <w:r w:rsidRPr="006839C8">
              <w:t>fat/oil content</w:t>
            </w:r>
          </w:p>
        </w:tc>
        <w:tc>
          <w:tcPr>
            <w:tcW w:w="2268" w:type="dxa"/>
            <w:noWrap/>
          </w:tcPr>
          <w:p w14:paraId="4FDD8566" w14:textId="1C4FCC97" w:rsidR="00FD02F4" w:rsidRPr="00C85405" w:rsidRDefault="00FD02F4" w:rsidP="00FD02F4">
            <w:pPr>
              <w:jc w:val="center"/>
            </w:pPr>
            <w:r>
              <w:t>2,0 mg/kg</w:t>
            </w:r>
          </w:p>
        </w:tc>
        <w:tc>
          <w:tcPr>
            <w:tcW w:w="6946" w:type="dxa"/>
          </w:tcPr>
          <w:p w14:paraId="00536E6E" w14:textId="77777777" w:rsidR="00FD02F4" w:rsidRPr="00A96249" w:rsidRDefault="00FD02F4" w:rsidP="00FD02F4">
            <w:pPr>
              <w:rPr>
                <w:color w:val="FF0000"/>
              </w:rPr>
            </w:pPr>
          </w:p>
        </w:tc>
      </w:tr>
    </w:tbl>
    <w:p w14:paraId="7B15099C" w14:textId="77777777" w:rsidR="004F7659" w:rsidRDefault="004F7659" w:rsidP="00487726">
      <w:pPr>
        <w:pStyle w:val="Point0"/>
        <w:pBdr>
          <w:bottom w:val="single" w:sz="6" w:space="1" w:color="auto"/>
        </w:pBdr>
        <w:rPr>
          <w:color w:val="FF0000"/>
        </w:rPr>
      </w:pPr>
    </w:p>
    <w:p w14:paraId="272A41D2" w14:textId="77777777" w:rsidR="004F7659" w:rsidRPr="00154659" w:rsidRDefault="004F7659" w:rsidP="00487726">
      <w:pPr>
        <w:pStyle w:val="Point0"/>
        <w:pBdr>
          <w:bottom w:val="single" w:sz="6" w:space="1" w:color="auto"/>
        </w:pBdr>
        <w:rPr>
          <w:color w:val="FF0000"/>
        </w:rPr>
      </w:pPr>
    </w:p>
    <w:sectPr w:rsidR="004F7659" w:rsidRPr="00154659" w:rsidSect="008937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C838" w14:textId="77777777" w:rsidR="00905EA5" w:rsidRDefault="00905EA5" w:rsidP="00905EA5">
      <w:pPr>
        <w:spacing w:before="0" w:after="0"/>
      </w:pPr>
      <w:r>
        <w:separator/>
      </w:r>
    </w:p>
  </w:endnote>
  <w:endnote w:type="continuationSeparator" w:id="0">
    <w:p w14:paraId="789E9318" w14:textId="77777777" w:rsidR="00905EA5" w:rsidRDefault="00905EA5" w:rsidP="00905E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77B8" w14:textId="77777777" w:rsidR="00210B7F" w:rsidRDefault="00210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3956" w14:textId="53B2DA15" w:rsidR="00A53C64" w:rsidRPr="00905EA5" w:rsidRDefault="00905EA5" w:rsidP="00A53C64">
    <w:pPr>
      <w:pStyle w:val="FooterLandscape"/>
      <w:rPr>
        <w:rFonts w:ascii="Arial" w:hAnsi="Arial" w:cs="Arial"/>
        <w:b/>
        <w:sz w:val="48"/>
        <w:lang w:val="es-ES"/>
      </w:rPr>
    </w:pPr>
    <w:r w:rsidRPr="00905EA5">
      <w:rPr>
        <w:rFonts w:ascii="Arial" w:hAnsi="Arial" w:cs="Arial"/>
        <w:b/>
        <w:sz w:val="48"/>
        <w:lang w:val="es-ES"/>
      </w:rPr>
      <w:t>EN</w:t>
    </w:r>
    <w:r w:rsidRPr="00905EA5">
      <w:rPr>
        <w:rFonts w:ascii="Arial" w:hAnsi="Arial" w:cs="Arial"/>
        <w:b/>
        <w:sz w:val="48"/>
        <w:lang w:val="es-ES"/>
      </w:rPr>
      <w:tab/>
    </w:r>
    <w:r>
      <w:fldChar w:fldCharType="begin"/>
    </w:r>
    <w:r w:rsidRPr="00905EA5">
      <w:rPr>
        <w:lang w:val="es-ES"/>
      </w:rPr>
      <w:instrText xml:space="preserve"> PAGE  \* MERGEFORMAT </w:instrText>
    </w:r>
    <w:r>
      <w:fldChar w:fldCharType="separate"/>
    </w:r>
    <w:r w:rsidR="00FB325E">
      <w:rPr>
        <w:noProof/>
        <w:lang w:val="es-ES"/>
      </w:rPr>
      <w:t>2</w:t>
    </w:r>
    <w:r>
      <w:fldChar w:fldCharType="end"/>
    </w:r>
    <w:r w:rsidRPr="00905EA5">
      <w:rPr>
        <w:lang w:val="es-ES"/>
      </w:rPr>
      <w:tab/>
    </w:r>
    <w:r w:rsidRPr="00905EA5">
      <w:rPr>
        <w:lang w:val="es-ES"/>
      </w:rPr>
      <w:tab/>
    </w:r>
    <w:r w:rsidRPr="00905EA5">
      <w:rPr>
        <w:rFonts w:ascii="Arial" w:hAnsi="Arial" w:cs="Arial"/>
        <w:b/>
        <w:sz w:val="48"/>
        <w:lang w:val="es-ES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827C" w14:textId="77777777" w:rsidR="00210B7F" w:rsidRDefault="00210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0181" w14:textId="77777777" w:rsidR="00905EA5" w:rsidRDefault="00905EA5" w:rsidP="00905EA5">
      <w:pPr>
        <w:spacing w:before="0" w:after="0"/>
      </w:pPr>
      <w:r>
        <w:separator/>
      </w:r>
    </w:p>
  </w:footnote>
  <w:footnote w:type="continuationSeparator" w:id="0">
    <w:p w14:paraId="29A35029" w14:textId="77777777" w:rsidR="00905EA5" w:rsidRDefault="00905EA5" w:rsidP="00905E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B354" w14:textId="77777777" w:rsidR="009261F0" w:rsidRDefault="004A76C2">
    <w:pPr>
      <w:pStyle w:val="Header"/>
    </w:pPr>
    <w:r>
      <w:rPr>
        <w:noProof/>
      </w:rPr>
      <w:pict w14:anchorId="74F74D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34422" o:spid="_x0000_s86019" type="#_x0000_t136" style="position:absolute;left:0;text-align:left;margin-left:0;margin-top:0;width:456.85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5178" w14:textId="77777777" w:rsidR="001C1A9D" w:rsidRPr="003622AC" w:rsidRDefault="004A76C2" w:rsidP="001C1A9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sz w:val="28"/>
        <w:szCs w:val="28"/>
      </w:rPr>
    </w:pPr>
    <w:r>
      <w:rPr>
        <w:noProof/>
      </w:rPr>
      <w:pict w14:anchorId="4E6282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34423" o:spid="_x0000_s86020" type="#_x0000_t136" style="position:absolute;left:0;text-align:left;margin-left:0;margin-top:0;width:456.85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905EA5" w:rsidRPr="003622AC">
      <w:rPr>
        <w:i/>
        <w:sz w:val="28"/>
        <w:szCs w:val="28"/>
      </w:rPr>
      <w:t xml:space="preserve">This </w:t>
    </w:r>
    <w:r w:rsidR="00905EA5">
      <w:rPr>
        <w:i/>
        <w:sz w:val="28"/>
        <w:szCs w:val="28"/>
      </w:rPr>
      <w:t xml:space="preserve">draft </w:t>
    </w:r>
    <w:r w:rsidR="00905EA5" w:rsidRPr="003622AC">
      <w:rPr>
        <w:i/>
        <w:sz w:val="28"/>
        <w:szCs w:val="28"/>
      </w:rPr>
      <w:t xml:space="preserve">has not been adopted </w:t>
    </w:r>
    <w:r w:rsidR="00905EA5">
      <w:rPr>
        <w:i/>
        <w:sz w:val="28"/>
        <w:szCs w:val="28"/>
      </w:rPr>
      <w:t xml:space="preserve">or endorsed </w:t>
    </w:r>
    <w:r w:rsidR="00905EA5" w:rsidRPr="003622AC">
      <w:rPr>
        <w:i/>
        <w:sz w:val="28"/>
        <w:szCs w:val="28"/>
      </w:rPr>
      <w:t xml:space="preserve">by the </w:t>
    </w:r>
    <w:r w:rsidR="00905EA5">
      <w:rPr>
        <w:i/>
        <w:sz w:val="28"/>
        <w:szCs w:val="28"/>
      </w:rPr>
      <w:t>European Commission</w:t>
    </w:r>
    <w:r w:rsidR="00905EA5" w:rsidRPr="003622AC">
      <w:rPr>
        <w:i/>
        <w:sz w:val="28"/>
        <w:szCs w:val="28"/>
      </w:rPr>
      <w:t xml:space="preserve">. </w:t>
    </w:r>
    <w:r w:rsidR="00905EA5" w:rsidRPr="00291AAE">
      <w:rPr>
        <w:i/>
        <w:sz w:val="28"/>
        <w:szCs w:val="28"/>
      </w:rPr>
      <w:t xml:space="preserve">Any views expressed are </w:t>
    </w:r>
    <w:r w:rsidR="00905EA5">
      <w:rPr>
        <w:i/>
        <w:sz w:val="28"/>
        <w:szCs w:val="28"/>
      </w:rPr>
      <w:t xml:space="preserve">the preliminary views of the Commission services </w:t>
    </w:r>
    <w:r w:rsidR="00905EA5" w:rsidRPr="00291AAE">
      <w:rPr>
        <w:i/>
        <w:sz w:val="28"/>
        <w:szCs w:val="28"/>
      </w:rPr>
      <w:t xml:space="preserve">and may not in any circumstances be regarded as stating an official position of the Commission. The information transmitted is intended only for the </w:t>
    </w:r>
    <w:r w:rsidR="00905EA5">
      <w:rPr>
        <w:i/>
        <w:sz w:val="28"/>
        <w:szCs w:val="28"/>
      </w:rPr>
      <w:t>Member State</w:t>
    </w:r>
    <w:r w:rsidR="00905EA5" w:rsidRPr="00291AAE">
      <w:rPr>
        <w:i/>
        <w:sz w:val="28"/>
        <w:szCs w:val="28"/>
      </w:rPr>
      <w:t xml:space="preserve"> or entity to which it is addressed </w:t>
    </w:r>
    <w:r w:rsidR="00905EA5">
      <w:rPr>
        <w:i/>
        <w:sz w:val="28"/>
        <w:szCs w:val="28"/>
      </w:rPr>
      <w:t xml:space="preserve">for discussions </w:t>
    </w:r>
    <w:r w:rsidR="00905EA5" w:rsidRPr="00291AAE">
      <w:rPr>
        <w:i/>
        <w:sz w:val="28"/>
        <w:szCs w:val="28"/>
      </w:rPr>
      <w:t>and may contain confidential and/or privileged material. </w:t>
    </w:r>
  </w:p>
  <w:p w14:paraId="00A73CBE" w14:textId="77777777" w:rsidR="00A53C64" w:rsidRPr="00A53C64" w:rsidRDefault="004A76C2" w:rsidP="00A53C64">
    <w:pPr>
      <w:pStyle w:val="HeaderLandscap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8062" w14:textId="77777777" w:rsidR="00A53C64" w:rsidRPr="00A53C64" w:rsidRDefault="004A76C2" w:rsidP="00A53C64">
    <w:pPr>
      <w:pStyle w:val="HeaderLandscape"/>
    </w:pPr>
    <w:r>
      <w:rPr>
        <w:noProof/>
      </w:rPr>
      <w:pict w14:anchorId="344686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34421" o:spid="_x0000_s86018" type="#_x0000_t136" style="position:absolute;left:0;text-align:left;margin-left:0;margin-top:0;width:456.85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77A5"/>
    <w:multiLevelType w:val="multilevel"/>
    <w:tmpl w:val="B3D8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A7D6D"/>
    <w:multiLevelType w:val="hybridMultilevel"/>
    <w:tmpl w:val="178A80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7D4C"/>
    <w:multiLevelType w:val="hybridMultilevel"/>
    <w:tmpl w:val="5DD646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26FF2"/>
    <w:multiLevelType w:val="hybridMultilevel"/>
    <w:tmpl w:val="86748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01AA"/>
    <w:multiLevelType w:val="hybridMultilevel"/>
    <w:tmpl w:val="73E81CBA"/>
    <w:lvl w:ilvl="0" w:tplc="94F62A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1C7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3E94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24AF4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2A00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6567E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8E0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B465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F385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2F401F9"/>
    <w:multiLevelType w:val="hybridMultilevel"/>
    <w:tmpl w:val="CEB80F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35E2D"/>
    <w:multiLevelType w:val="hybridMultilevel"/>
    <w:tmpl w:val="0018F3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67DC"/>
    <w:multiLevelType w:val="hybridMultilevel"/>
    <w:tmpl w:val="5248EF66"/>
    <w:lvl w:ilvl="0" w:tplc="FE8CF7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EBA07B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9DDEB5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3" w:tplc="8F5EA4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9BAF8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3A81B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FB29F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31A41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4F031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41B20768"/>
    <w:multiLevelType w:val="hybridMultilevel"/>
    <w:tmpl w:val="91086A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C5FAD"/>
    <w:multiLevelType w:val="hybridMultilevel"/>
    <w:tmpl w:val="ADB235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D49C5"/>
    <w:multiLevelType w:val="multilevel"/>
    <w:tmpl w:val="17BA872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F5A78C0"/>
    <w:multiLevelType w:val="hybridMultilevel"/>
    <w:tmpl w:val="59CEA15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010D6"/>
    <w:multiLevelType w:val="hybridMultilevel"/>
    <w:tmpl w:val="4600CC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56664"/>
    <w:multiLevelType w:val="hybridMultilevel"/>
    <w:tmpl w:val="9F4A64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A1B6C"/>
    <w:multiLevelType w:val="hybridMultilevel"/>
    <w:tmpl w:val="9C40D3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4171B"/>
    <w:multiLevelType w:val="hybridMultilevel"/>
    <w:tmpl w:val="F13AC4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A253D1"/>
    <w:multiLevelType w:val="hybridMultilevel"/>
    <w:tmpl w:val="D84A17AA"/>
    <w:lvl w:ilvl="0" w:tplc="19982B20">
      <w:start w:val="10"/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86C82"/>
    <w:multiLevelType w:val="hybridMultilevel"/>
    <w:tmpl w:val="EADCB822"/>
    <w:lvl w:ilvl="0" w:tplc="424A760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796A5DB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6846E2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3" w:tplc="54CA4FB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63D0794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90B2606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C3A88C6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15F6E94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AD2CEFC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num w:numId="1" w16cid:durableId="1988511527">
    <w:abstractNumId w:val="16"/>
  </w:num>
  <w:num w:numId="2" w16cid:durableId="450440333">
    <w:abstractNumId w:val="8"/>
  </w:num>
  <w:num w:numId="3" w16cid:durableId="1468084851">
    <w:abstractNumId w:val="5"/>
  </w:num>
  <w:num w:numId="4" w16cid:durableId="509101020">
    <w:abstractNumId w:val="15"/>
  </w:num>
  <w:num w:numId="5" w16cid:durableId="1798720632">
    <w:abstractNumId w:val="6"/>
  </w:num>
  <w:num w:numId="6" w16cid:durableId="967512977">
    <w:abstractNumId w:val="14"/>
  </w:num>
  <w:num w:numId="7" w16cid:durableId="565459335">
    <w:abstractNumId w:val="13"/>
  </w:num>
  <w:num w:numId="8" w16cid:durableId="819073987">
    <w:abstractNumId w:val="1"/>
  </w:num>
  <w:num w:numId="9" w16cid:durableId="1182814340">
    <w:abstractNumId w:val="3"/>
  </w:num>
  <w:num w:numId="10" w16cid:durableId="214047626">
    <w:abstractNumId w:val="2"/>
  </w:num>
  <w:num w:numId="11" w16cid:durableId="2014717648">
    <w:abstractNumId w:val="12"/>
  </w:num>
  <w:num w:numId="12" w16cid:durableId="1634211169">
    <w:abstractNumId w:val="9"/>
  </w:num>
  <w:num w:numId="13" w16cid:durableId="748120029">
    <w:abstractNumId w:val="7"/>
  </w:num>
  <w:num w:numId="14" w16cid:durableId="1518234886">
    <w:abstractNumId w:val="11"/>
  </w:num>
  <w:num w:numId="15" w16cid:durableId="500850551">
    <w:abstractNumId w:val="17"/>
  </w:num>
  <w:num w:numId="16" w16cid:durableId="2128156956">
    <w:abstractNumId w:val="4"/>
  </w:num>
  <w:num w:numId="17" w16cid:durableId="1240596844">
    <w:abstractNumId w:val="0"/>
  </w:num>
  <w:num w:numId="18" w16cid:durableId="1933853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86021"/>
    <o:shapelayout v:ext="edit">
      <o:idmap v:ext="edit" data="8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03E1D"/>
    <w:rsid w:val="0000129A"/>
    <w:rsid w:val="000030D7"/>
    <w:rsid w:val="00011564"/>
    <w:rsid w:val="000150DE"/>
    <w:rsid w:val="00015EE7"/>
    <w:rsid w:val="00026522"/>
    <w:rsid w:val="00030BCF"/>
    <w:rsid w:val="00032BBB"/>
    <w:rsid w:val="000401EF"/>
    <w:rsid w:val="000505A2"/>
    <w:rsid w:val="00051166"/>
    <w:rsid w:val="00052E90"/>
    <w:rsid w:val="00052F36"/>
    <w:rsid w:val="00060A64"/>
    <w:rsid w:val="000642D0"/>
    <w:rsid w:val="00070119"/>
    <w:rsid w:val="0007250F"/>
    <w:rsid w:val="0007284A"/>
    <w:rsid w:val="000733D8"/>
    <w:rsid w:val="00073B83"/>
    <w:rsid w:val="00074243"/>
    <w:rsid w:val="00084AE9"/>
    <w:rsid w:val="00092921"/>
    <w:rsid w:val="00094484"/>
    <w:rsid w:val="000A0B5D"/>
    <w:rsid w:val="000A4189"/>
    <w:rsid w:val="000A41C5"/>
    <w:rsid w:val="000A460C"/>
    <w:rsid w:val="000A52F4"/>
    <w:rsid w:val="000C08E0"/>
    <w:rsid w:val="000C48AD"/>
    <w:rsid w:val="000C7858"/>
    <w:rsid w:val="000D1A54"/>
    <w:rsid w:val="000D66C6"/>
    <w:rsid w:val="000D70F1"/>
    <w:rsid w:val="000E2218"/>
    <w:rsid w:val="000E5B2E"/>
    <w:rsid w:val="000E71DE"/>
    <w:rsid w:val="000F0CE6"/>
    <w:rsid w:val="000F54A9"/>
    <w:rsid w:val="001008C4"/>
    <w:rsid w:val="0010254F"/>
    <w:rsid w:val="001049D5"/>
    <w:rsid w:val="00110283"/>
    <w:rsid w:val="00110930"/>
    <w:rsid w:val="00111741"/>
    <w:rsid w:val="00116D87"/>
    <w:rsid w:val="001173E4"/>
    <w:rsid w:val="00117608"/>
    <w:rsid w:val="00117DB4"/>
    <w:rsid w:val="00121E9B"/>
    <w:rsid w:val="00123016"/>
    <w:rsid w:val="00126C47"/>
    <w:rsid w:val="00130025"/>
    <w:rsid w:val="0014037B"/>
    <w:rsid w:val="00146771"/>
    <w:rsid w:val="00152A35"/>
    <w:rsid w:val="00154659"/>
    <w:rsid w:val="00155CDD"/>
    <w:rsid w:val="00162DD7"/>
    <w:rsid w:val="00164523"/>
    <w:rsid w:val="00174B7E"/>
    <w:rsid w:val="00175D9C"/>
    <w:rsid w:val="00180891"/>
    <w:rsid w:val="00180E50"/>
    <w:rsid w:val="0018517B"/>
    <w:rsid w:val="00187F82"/>
    <w:rsid w:val="001964BD"/>
    <w:rsid w:val="001A1E34"/>
    <w:rsid w:val="001A5747"/>
    <w:rsid w:val="001A64F9"/>
    <w:rsid w:val="001B538B"/>
    <w:rsid w:val="001B5B88"/>
    <w:rsid w:val="001B7B11"/>
    <w:rsid w:val="001C570E"/>
    <w:rsid w:val="001D0C72"/>
    <w:rsid w:val="001D10C0"/>
    <w:rsid w:val="001E11C9"/>
    <w:rsid w:val="001F0008"/>
    <w:rsid w:val="001F1372"/>
    <w:rsid w:val="001F24A8"/>
    <w:rsid w:val="001F2A8A"/>
    <w:rsid w:val="001F2AA1"/>
    <w:rsid w:val="001F3561"/>
    <w:rsid w:val="001F76E5"/>
    <w:rsid w:val="00203DD8"/>
    <w:rsid w:val="00210B7F"/>
    <w:rsid w:val="002168AC"/>
    <w:rsid w:val="00216FA6"/>
    <w:rsid w:val="00222B7F"/>
    <w:rsid w:val="002269D6"/>
    <w:rsid w:val="00235801"/>
    <w:rsid w:val="00244E23"/>
    <w:rsid w:val="0024613D"/>
    <w:rsid w:val="0025113E"/>
    <w:rsid w:val="00254D8A"/>
    <w:rsid w:val="00254F06"/>
    <w:rsid w:val="0026125D"/>
    <w:rsid w:val="00262F28"/>
    <w:rsid w:val="002729F6"/>
    <w:rsid w:val="00275883"/>
    <w:rsid w:val="00281557"/>
    <w:rsid w:val="002821AB"/>
    <w:rsid w:val="00283483"/>
    <w:rsid w:val="00283E61"/>
    <w:rsid w:val="00286A58"/>
    <w:rsid w:val="0029322D"/>
    <w:rsid w:val="002A6C4F"/>
    <w:rsid w:val="002A74AF"/>
    <w:rsid w:val="002B1DD7"/>
    <w:rsid w:val="002B601E"/>
    <w:rsid w:val="002C0597"/>
    <w:rsid w:val="002C098F"/>
    <w:rsid w:val="002C24C4"/>
    <w:rsid w:val="002C4CC6"/>
    <w:rsid w:val="002C5196"/>
    <w:rsid w:val="002D14F9"/>
    <w:rsid w:val="002D6A52"/>
    <w:rsid w:val="002E52A5"/>
    <w:rsid w:val="002E557B"/>
    <w:rsid w:val="002E70BF"/>
    <w:rsid w:val="002F2D57"/>
    <w:rsid w:val="002F42B5"/>
    <w:rsid w:val="002F5898"/>
    <w:rsid w:val="002F6154"/>
    <w:rsid w:val="002F6793"/>
    <w:rsid w:val="00301B13"/>
    <w:rsid w:val="00302BC6"/>
    <w:rsid w:val="003062DA"/>
    <w:rsid w:val="00325DCE"/>
    <w:rsid w:val="0034114F"/>
    <w:rsid w:val="00347475"/>
    <w:rsid w:val="00351ACF"/>
    <w:rsid w:val="003571CE"/>
    <w:rsid w:val="00362F4E"/>
    <w:rsid w:val="0036359A"/>
    <w:rsid w:val="00365849"/>
    <w:rsid w:val="00374FE9"/>
    <w:rsid w:val="00385B76"/>
    <w:rsid w:val="003877B2"/>
    <w:rsid w:val="003972A0"/>
    <w:rsid w:val="003A662D"/>
    <w:rsid w:val="003A6B95"/>
    <w:rsid w:val="003B1F9C"/>
    <w:rsid w:val="003B49FB"/>
    <w:rsid w:val="003B4E6E"/>
    <w:rsid w:val="003B69EB"/>
    <w:rsid w:val="003C3CF5"/>
    <w:rsid w:val="003C47D1"/>
    <w:rsid w:val="003E1DF8"/>
    <w:rsid w:val="003E2BFC"/>
    <w:rsid w:val="003E60AA"/>
    <w:rsid w:val="003E66B7"/>
    <w:rsid w:val="003F1AFD"/>
    <w:rsid w:val="003F2C65"/>
    <w:rsid w:val="00400017"/>
    <w:rsid w:val="00403BFE"/>
    <w:rsid w:val="0040627B"/>
    <w:rsid w:val="00407731"/>
    <w:rsid w:val="004112F3"/>
    <w:rsid w:val="0041332B"/>
    <w:rsid w:val="00415059"/>
    <w:rsid w:val="00416120"/>
    <w:rsid w:val="00417044"/>
    <w:rsid w:val="004175AB"/>
    <w:rsid w:val="00421FB4"/>
    <w:rsid w:val="00424871"/>
    <w:rsid w:val="00430974"/>
    <w:rsid w:val="00431020"/>
    <w:rsid w:val="00431A99"/>
    <w:rsid w:val="0043628B"/>
    <w:rsid w:val="0044067C"/>
    <w:rsid w:val="0044144D"/>
    <w:rsid w:val="00441681"/>
    <w:rsid w:val="0044495F"/>
    <w:rsid w:val="00444E23"/>
    <w:rsid w:val="00447DD8"/>
    <w:rsid w:val="0045142C"/>
    <w:rsid w:val="0045399B"/>
    <w:rsid w:val="00455E9B"/>
    <w:rsid w:val="00456EBE"/>
    <w:rsid w:val="004608EB"/>
    <w:rsid w:val="0046253A"/>
    <w:rsid w:val="004655C9"/>
    <w:rsid w:val="00471D0F"/>
    <w:rsid w:val="00472084"/>
    <w:rsid w:val="00473840"/>
    <w:rsid w:val="004738BE"/>
    <w:rsid w:val="00477579"/>
    <w:rsid w:val="00480A19"/>
    <w:rsid w:val="004835C1"/>
    <w:rsid w:val="00486E04"/>
    <w:rsid w:val="00487726"/>
    <w:rsid w:val="004928D3"/>
    <w:rsid w:val="0049612D"/>
    <w:rsid w:val="00497270"/>
    <w:rsid w:val="004A76C2"/>
    <w:rsid w:val="004A7A56"/>
    <w:rsid w:val="004B2B13"/>
    <w:rsid w:val="004B3FD6"/>
    <w:rsid w:val="004B4875"/>
    <w:rsid w:val="004B5359"/>
    <w:rsid w:val="004C5AF8"/>
    <w:rsid w:val="004D0C26"/>
    <w:rsid w:val="004D3409"/>
    <w:rsid w:val="004E0063"/>
    <w:rsid w:val="004E67B7"/>
    <w:rsid w:val="004F5720"/>
    <w:rsid w:val="004F59D2"/>
    <w:rsid w:val="004F6563"/>
    <w:rsid w:val="004F7659"/>
    <w:rsid w:val="00504D91"/>
    <w:rsid w:val="00512D3C"/>
    <w:rsid w:val="00514649"/>
    <w:rsid w:val="00522EF7"/>
    <w:rsid w:val="00523C5B"/>
    <w:rsid w:val="00524C93"/>
    <w:rsid w:val="00524E20"/>
    <w:rsid w:val="00530FAF"/>
    <w:rsid w:val="00534854"/>
    <w:rsid w:val="00535F79"/>
    <w:rsid w:val="005363D8"/>
    <w:rsid w:val="00536B92"/>
    <w:rsid w:val="005372CB"/>
    <w:rsid w:val="0054006A"/>
    <w:rsid w:val="00540633"/>
    <w:rsid w:val="0054304E"/>
    <w:rsid w:val="00543BC1"/>
    <w:rsid w:val="00544B24"/>
    <w:rsid w:val="005536C6"/>
    <w:rsid w:val="0055370F"/>
    <w:rsid w:val="00554B38"/>
    <w:rsid w:val="00555649"/>
    <w:rsid w:val="00561841"/>
    <w:rsid w:val="00563885"/>
    <w:rsid w:val="00565754"/>
    <w:rsid w:val="005675E9"/>
    <w:rsid w:val="0056799E"/>
    <w:rsid w:val="00570AE8"/>
    <w:rsid w:val="0057546D"/>
    <w:rsid w:val="00576E70"/>
    <w:rsid w:val="0058243B"/>
    <w:rsid w:val="00583AC2"/>
    <w:rsid w:val="005907CA"/>
    <w:rsid w:val="005921BA"/>
    <w:rsid w:val="00594334"/>
    <w:rsid w:val="00594A46"/>
    <w:rsid w:val="005A2FA1"/>
    <w:rsid w:val="005B1343"/>
    <w:rsid w:val="005D04E2"/>
    <w:rsid w:val="005D0A6F"/>
    <w:rsid w:val="005D2098"/>
    <w:rsid w:val="005D2A90"/>
    <w:rsid w:val="005D5F5E"/>
    <w:rsid w:val="005D7EC4"/>
    <w:rsid w:val="005E1226"/>
    <w:rsid w:val="005E5167"/>
    <w:rsid w:val="005E5D9A"/>
    <w:rsid w:val="005E7FC6"/>
    <w:rsid w:val="005F245E"/>
    <w:rsid w:val="0060265F"/>
    <w:rsid w:val="00603FC5"/>
    <w:rsid w:val="00612F9F"/>
    <w:rsid w:val="006161BC"/>
    <w:rsid w:val="006224A1"/>
    <w:rsid w:val="00626731"/>
    <w:rsid w:val="00627B48"/>
    <w:rsid w:val="00633ABC"/>
    <w:rsid w:val="006357E1"/>
    <w:rsid w:val="0063600F"/>
    <w:rsid w:val="00637540"/>
    <w:rsid w:val="006417B0"/>
    <w:rsid w:val="00645E7E"/>
    <w:rsid w:val="006463A6"/>
    <w:rsid w:val="0065110F"/>
    <w:rsid w:val="00652288"/>
    <w:rsid w:val="00653D2A"/>
    <w:rsid w:val="00657DD9"/>
    <w:rsid w:val="00663579"/>
    <w:rsid w:val="00663DFE"/>
    <w:rsid w:val="00664A66"/>
    <w:rsid w:val="00665E83"/>
    <w:rsid w:val="006839C8"/>
    <w:rsid w:val="00684808"/>
    <w:rsid w:val="00685EA8"/>
    <w:rsid w:val="006877A1"/>
    <w:rsid w:val="00692C15"/>
    <w:rsid w:val="0069331A"/>
    <w:rsid w:val="00696CD8"/>
    <w:rsid w:val="00697049"/>
    <w:rsid w:val="0069799B"/>
    <w:rsid w:val="006B310F"/>
    <w:rsid w:val="006C2F11"/>
    <w:rsid w:val="006C36BA"/>
    <w:rsid w:val="006D3119"/>
    <w:rsid w:val="006D4D08"/>
    <w:rsid w:val="006D5358"/>
    <w:rsid w:val="006E2F1E"/>
    <w:rsid w:val="0070073B"/>
    <w:rsid w:val="00705D47"/>
    <w:rsid w:val="00715B07"/>
    <w:rsid w:val="00730547"/>
    <w:rsid w:val="007426EE"/>
    <w:rsid w:val="007475F9"/>
    <w:rsid w:val="00750E9D"/>
    <w:rsid w:val="00753F1C"/>
    <w:rsid w:val="007560E3"/>
    <w:rsid w:val="00765D55"/>
    <w:rsid w:val="007677A5"/>
    <w:rsid w:val="00770C13"/>
    <w:rsid w:val="00777980"/>
    <w:rsid w:val="00790595"/>
    <w:rsid w:val="0079102A"/>
    <w:rsid w:val="00796AE4"/>
    <w:rsid w:val="00797C7A"/>
    <w:rsid w:val="007A23F5"/>
    <w:rsid w:val="007A6476"/>
    <w:rsid w:val="007A6A44"/>
    <w:rsid w:val="007A6BF0"/>
    <w:rsid w:val="007B4D4D"/>
    <w:rsid w:val="007D01CE"/>
    <w:rsid w:val="007D5BD7"/>
    <w:rsid w:val="007D6B83"/>
    <w:rsid w:val="007E36E4"/>
    <w:rsid w:val="007E72FC"/>
    <w:rsid w:val="007F04FF"/>
    <w:rsid w:val="007F1094"/>
    <w:rsid w:val="007F3C1E"/>
    <w:rsid w:val="007F3DF4"/>
    <w:rsid w:val="0080047E"/>
    <w:rsid w:val="008018F5"/>
    <w:rsid w:val="00801C23"/>
    <w:rsid w:val="00802DA2"/>
    <w:rsid w:val="00803DD7"/>
    <w:rsid w:val="00803E1D"/>
    <w:rsid w:val="0080626A"/>
    <w:rsid w:val="008146F1"/>
    <w:rsid w:val="008162C1"/>
    <w:rsid w:val="0082345B"/>
    <w:rsid w:val="0082496D"/>
    <w:rsid w:val="00824A3E"/>
    <w:rsid w:val="0083542D"/>
    <w:rsid w:val="008427BE"/>
    <w:rsid w:val="00842FD6"/>
    <w:rsid w:val="00855B71"/>
    <w:rsid w:val="00857CB3"/>
    <w:rsid w:val="00873BEE"/>
    <w:rsid w:val="0087641A"/>
    <w:rsid w:val="008846E1"/>
    <w:rsid w:val="00884B3D"/>
    <w:rsid w:val="00890A15"/>
    <w:rsid w:val="008937B0"/>
    <w:rsid w:val="00896932"/>
    <w:rsid w:val="00897022"/>
    <w:rsid w:val="008A3715"/>
    <w:rsid w:val="008A50B1"/>
    <w:rsid w:val="008B4182"/>
    <w:rsid w:val="008C34D5"/>
    <w:rsid w:val="008D6980"/>
    <w:rsid w:val="008D77C7"/>
    <w:rsid w:val="008E5836"/>
    <w:rsid w:val="008E6850"/>
    <w:rsid w:val="008F1F91"/>
    <w:rsid w:val="008F455A"/>
    <w:rsid w:val="009005FB"/>
    <w:rsid w:val="00903E03"/>
    <w:rsid w:val="00905EA5"/>
    <w:rsid w:val="00906064"/>
    <w:rsid w:val="00917491"/>
    <w:rsid w:val="009222BF"/>
    <w:rsid w:val="00924F3D"/>
    <w:rsid w:val="009261F0"/>
    <w:rsid w:val="00930E46"/>
    <w:rsid w:val="00932621"/>
    <w:rsid w:val="00937704"/>
    <w:rsid w:val="00937B3A"/>
    <w:rsid w:val="00946CD8"/>
    <w:rsid w:val="009474D7"/>
    <w:rsid w:val="00953C36"/>
    <w:rsid w:val="00954ABF"/>
    <w:rsid w:val="0096100E"/>
    <w:rsid w:val="0096197E"/>
    <w:rsid w:val="00962828"/>
    <w:rsid w:val="00966884"/>
    <w:rsid w:val="00974BCC"/>
    <w:rsid w:val="00996AC1"/>
    <w:rsid w:val="00997D8D"/>
    <w:rsid w:val="009A42FD"/>
    <w:rsid w:val="009A52A1"/>
    <w:rsid w:val="009A7608"/>
    <w:rsid w:val="009B0367"/>
    <w:rsid w:val="009B572E"/>
    <w:rsid w:val="009B6C7F"/>
    <w:rsid w:val="009C04C1"/>
    <w:rsid w:val="009C5DD2"/>
    <w:rsid w:val="009C69E1"/>
    <w:rsid w:val="009D05D9"/>
    <w:rsid w:val="009D27E5"/>
    <w:rsid w:val="009D3626"/>
    <w:rsid w:val="009D6A14"/>
    <w:rsid w:val="009E151A"/>
    <w:rsid w:val="009F0B36"/>
    <w:rsid w:val="009F681A"/>
    <w:rsid w:val="009F68A0"/>
    <w:rsid w:val="009F72FF"/>
    <w:rsid w:val="009F75DB"/>
    <w:rsid w:val="00A00018"/>
    <w:rsid w:val="00A01889"/>
    <w:rsid w:val="00A076A0"/>
    <w:rsid w:val="00A12C49"/>
    <w:rsid w:val="00A15921"/>
    <w:rsid w:val="00A16B6F"/>
    <w:rsid w:val="00A2098C"/>
    <w:rsid w:val="00A27772"/>
    <w:rsid w:val="00A35DE0"/>
    <w:rsid w:val="00A458A5"/>
    <w:rsid w:val="00A462C9"/>
    <w:rsid w:val="00A46A3E"/>
    <w:rsid w:val="00A5019F"/>
    <w:rsid w:val="00A564D0"/>
    <w:rsid w:val="00A601AF"/>
    <w:rsid w:val="00A6272A"/>
    <w:rsid w:val="00A630EE"/>
    <w:rsid w:val="00A64DD0"/>
    <w:rsid w:val="00A6694A"/>
    <w:rsid w:val="00A71B76"/>
    <w:rsid w:val="00A726C9"/>
    <w:rsid w:val="00A72EEA"/>
    <w:rsid w:val="00A74D21"/>
    <w:rsid w:val="00A824DA"/>
    <w:rsid w:val="00A87FCE"/>
    <w:rsid w:val="00A92770"/>
    <w:rsid w:val="00A95672"/>
    <w:rsid w:val="00A96249"/>
    <w:rsid w:val="00AA4792"/>
    <w:rsid w:val="00AB0800"/>
    <w:rsid w:val="00AB3009"/>
    <w:rsid w:val="00AC0353"/>
    <w:rsid w:val="00AC1F2B"/>
    <w:rsid w:val="00AC6163"/>
    <w:rsid w:val="00AC62D1"/>
    <w:rsid w:val="00AE1303"/>
    <w:rsid w:val="00AE2A50"/>
    <w:rsid w:val="00AE4E25"/>
    <w:rsid w:val="00AF12B1"/>
    <w:rsid w:val="00AF56CE"/>
    <w:rsid w:val="00B056BE"/>
    <w:rsid w:val="00B129A4"/>
    <w:rsid w:val="00B216DF"/>
    <w:rsid w:val="00B2388A"/>
    <w:rsid w:val="00B4513D"/>
    <w:rsid w:val="00B5273E"/>
    <w:rsid w:val="00B52FB2"/>
    <w:rsid w:val="00B534A0"/>
    <w:rsid w:val="00B54270"/>
    <w:rsid w:val="00B546EB"/>
    <w:rsid w:val="00B55D5D"/>
    <w:rsid w:val="00B6293C"/>
    <w:rsid w:val="00B74839"/>
    <w:rsid w:val="00B942AE"/>
    <w:rsid w:val="00BA438E"/>
    <w:rsid w:val="00BB04E2"/>
    <w:rsid w:val="00BB1C46"/>
    <w:rsid w:val="00BB78FC"/>
    <w:rsid w:val="00BC0926"/>
    <w:rsid w:val="00BC1066"/>
    <w:rsid w:val="00BC117B"/>
    <w:rsid w:val="00BC1B2E"/>
    <w:rsid w:val="00BC1CD6"/>
    <w:rsid w:val="00BC6831"/>
    <w:rsid w:val="00BD2ABD"/>
    <w:rsid w:val="00BD5B7B"/>
    <w:rsid w:val="00BD639E"/>
    <w:rsid w:val="00BD65AB"/>
    <w:rsid w:val="00BD66F1"/>
    <w:rsid w:val="00BF51B3"/>
    <w:rsid w:val="00BF5407"/>
    <w:rsid w:val="00BF5577"/>
    <w:rsid w:val="00C047FB"/>
    <w:rsid w:val="00C04EE9"/>
    <w:rsid w:val="00C13030"/>
    <w:rsid w:val="00C16CE1"/>
    <w:rsid w:val="00C2124F"/>
    <w:rsid w:val="00C22302"/>
    <w:rsid w:val="00C26F94"/>
    <w:rsid w:val="00C27516"/>
    <w:rsid w:val="00C3233D"/>
    <w:rsid w:val="00C32B10"/>
    <w:rsid w:val="00C363EA"/>
    <w:rsid w:val="00C4076C"/>
    <w:rsid w:val="00C5215B"/>
    <w:rsid w:val="00C8055C"/>
    <w:rsid w:val="00C81412"/>
    <w:rsid w:val="00C85405"/>
    <w:rsid w:val="00C95E9D"/>
    <w:rsid w:val="00CA03DF"/>
    <w:rsid w:val="00CA729D"/>
    <w:rsid w:val="00CB04DC"/>
    <w:rsid w:val="00CB11EA"/>
    <w:rsid w:val="00CB1320"/>
    <w:rsid w:val="00CB2E0A"/>
    <w:rsid w:val="00CB54E1"/>
    <w:rsid w:val="00CB5C7F"/>
    <w:rsid w:val="00CB5F0D"/>
    <w:rsid w:val="00CC4FC8"/>
    <w:rsid w:val="00CD09B8"/>
    <w:rsid w:val="00CD1B45"/>
    <w:rsid w:val="00CD34F8"/>
    <w:rsid w:val="00CD4D28"/>
    <w:rsid w:val="00CD51AC"/>
    <w:rsid w:val="00CE2A95"/>
    <w:rsid w:val="00CE64F0"/>
    <w:rsid w:val="00CF3706"/>
    <w:rsid w:val="00CF723B"/>
    <w:rsid w:val="00CF7520"/>
    <w:rsid w:val="00D00A27"/>
    <w:rsid w:val="00D038DC"/>
    <w:rsid w:val="00D04161"/>
    <w:rsid w:val="00D129B5"/>
    <w:rsid w:val="00D145BB"/>
    <w:rsid w:val="00D2772E"/>
    <w:rsid w:val="00D27838"/>
    <w:rsid w:val="00D30C5D"/>
    <w:rsid w:val="00D316CB"/>
    <w:rsid w:val="00D34669"/>
    <w:rsid w:val="00D40068"/>
    <w:rsid w:val="00D4327E"/>
    <w:rsid w:val="00D505C0"/>
    <w:rsid w:val="00D52530"/>
    <w:rsid w:val="00D53F97"/>
    <w:rsid w:val="00D5443E"/>
    <w:rsid w:val="00D5504D"/>
    <w:rsid w:val="00D55551"/>
    <w:rsid w:val="00D629EE"/>
    <w:rsid w:val="00D641B7"/>
    <w:rsid w:val="00D66F68"/>
    <w:rsid w:val="00D67520"/>
    <w:rsid w:val="00D720F1"/>
    <w:rsid w:val="00D74EDB"/>
    <w:rsid w:val="00D775B7"/>
    <w:rsid w:val="00D843E3"/>
    <w:rsid w:val="00D960C4"/>
    <w:rsid w:val="00D964C0"/>
    <w:rsid w:val="00D97C45"/>
    <w:rsid w:val="00DA0376"/>
    <w:rsid w:val="00DA0FE0"/>
    <w:rsid w:val="00DA1EF2"/>
    <w:rsid w:val="00DA3057"/>
    <w:rsid w:val="00DA3A5D"/>
    <w:rsid w:val="00DA3B6A"/>
    <w:rsid w:val="00DB3376"/>
    <w:rsid w:val="00DC6FA4"/>
    <w:rsid w:val="00DD6701"/>
    <w:rsid w:val="00DD6A97"/>
    <w:rsid w:val="00DE0369"/>
    <w:rsid w:val="00DE4413"/>
    <w:rsid w:val="00DE5633"/>
    <w:rsid w:val="00DE66FE"/>
    <w:rsid w:val="00DF0237"/>
    <w:rsid w:val="00DF1072"/>
    <w:rsid w:val="00DF4287"/>
    <w:rsid w:val="00E05EB9"/>
    <w:rsid w:val="00E1109D"/>
    <w:rsid w:val="00E20107"/>
    <w:rsid w:val="00E246D6"/>
    <w:rsid w:val="00E26D67"/>
    <w:rsid w:val="00E312F0"/>
    <w:rsid w:val="00E33059"/>
    <w:rsid w:val="00E33F9C"/>
    <w:rsid w:val="00E34278"/>
    <w:rsid w:val="00E346E3"/>
    <w:rsid w:val="00E4040B"/>
    <w:rsid w:val="00E42633"/>
    <w:rsid w:val="00E53C8D"/>
    <w:rsid w:val="00E54191"/>
    <w:rsid w:val="00E54C37"/>
    <w:rsid w:val="00E675B5"/>
    <w:rsid w:val="00E75A26"/>
    <w:rsid w:val="00E76FA3"/>
    <w:rsid w:val="00E7724F"/>
    <w:rsid w:val="00E81C3A"/>
    <w:rsid w:val="00E82AB0"/>
    <w:rsid w:val="00E869D5"/>
    <w:rsid w:val="00E95F55"/>
    <w:rsid w:val="00E96E37"/>
    <w:rsid w:val="00E97A14"/>
    <w:rsid w:val="00EA4048"/>
    <w:rsid w:val="00EA6D3D"/>
    <w:rsid w:val="00EC33FE"/>
    <w:rsid w:val="00EC56B1"/>
    <w:rsid w:val="00ED0A16"/>
    <w:rsid w:val="00ED33A1"/>
    <w:rsid w:val="00EE10BA"/>
    <w:rsid w:val="00EE19CE"/>
    <w:rsid w:val="00EE3187"/>
    <w:rsid w:val="00EE4B52"/>
    <w:rsid w:val="00EF6A01"/>
    <w:rsid w:val="00F007C2"/>
    <w:rsid w:val="00F04FD7"/>
    <w:rsid w:val="00F07D91"/>
    <w:rsid w:val="00F13393"/>
    <w:rsid w:val="00F23669"/>
    <w:rsid w:val="00F260A9"/>
    <w:rsid w:val="00F30EB6"/>
    <w:rsid w:val="00F35A81"/>
    <w:rsid w:val="00F40688"/>
    <w:rsid w:val="00F40CBF"/>
    <w:rsid w:val="00F438D5"/>
    <w:rsid w:val="00F43F00"/>
    <w:rsid w:val="00F51EA4"/>
    <w:rsid w:val="00F54389"/>
    <w:rsid w:val="00F55720"/>
    <w:rsid w:val="00F61340"/>
    <w:rsid w:val="00F65A77"/>
    <w:rsid w:val="00F725C0"/>
    <w:rsid w:val="00F821E2"/>
    <w:rsid w:val="00F846CC"/>
    <w:rsid w:val="00F86321"/>
    <w:rsid w:val="00F97247"/>
    <w:rsid w:val="00FA48A2"/>
    <w:rsid w:val="00FB1C6B"/>
    <w:rsid w:val="00FB1F7D"/>
    <w:rsid w:val="00FB325E"/>
    <w:rsid w:val="00FB4E27"/>
    <w:rsid w:val="00FC40A2"/>
    <w:rsid w:val="00FC6BD3"/>
    <w:rsid w:val="00FC73B5"/>
    <w:rsid w:val="00FC7ED0"/>
    <w:rsid w:val="00FD02F4"/>
    <w:rsid w:val="00FE0CD8"/>
    <w:rsid w:val="00FE2CFA"/>
    <w:rsid w:val="00FE2FAD"/>
    <w:rsid w:val="00FE5D89"/>
    <w:rsid w:val="00FE6329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21"/>
    <o:shapelayout v:ext="edit">
      <o:idmap v:ext="edit" data="1"/>
    </o:shapelayout>
  </w:shapeDefaults>
  <w:decimalSymbol w:val=","/>
  <w:listSeparator w:val=";"/>
  <w14:docId w14:val="2060649F"/>
  <w15:docId w15:val="{666395AA-611A-4B18-86A1-21C521EC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E1D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E1D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03E1D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03E1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03E1D"/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rsid w:val="00803E1D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803E1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paragraph" w:customStyle="1" w:styleId="Annexetitre">
    <w:name w:val="Annexe titre"/>
    <w:basedOn w:val="Normal"/>
    <w:next w:val="Normal"/>
    <w:rsid w:val="00803E1D"/>
    <w:pPr>
      <w:jc w:val="center"/>
    </w:pPr>
    <w:rPr>
      <w:b/>
      <w:u w:val="single"/>
    </w:rPr>
  </w:style>
  <w:style w:type="paragraph" w:customStyle="1" w:styleId="Typedudocument">
    <w:name w:val="Type du document"/>
    <w:basedOn w:val="Normal"/>
    <w:next w:val="Normal"/>
    <w:rsid w:val="00803E1D"/>
    <w:pPr>
      <w:spacing w:before="360" w:after="180"/>
      <w:jc w:val="center"/>
    </w:pPr>
    <w:rPr>
      <w:b/>
    </w:rPr>
  </w:style>
  <w:style w:type="paragraph" w:customStyle="1" w:styleId="Pagedecouverture">
    <w:name w:val="Page de couverture"/>
    <w:basedOn w:val="Normal"/>
    <w:next w:val="Normal"/>
    <w:rsid w:val="00803E1D"/>
    <w:pPr>
      <w:spacing w:before="0" w:after="0"/>
    </w:pPr>
  </w:style>
  <w:style w:type="paragraph" w:customStyle="1" w:styleId="Accompagnant">
    <w:name w:val="Accompagnant"/>
    <w:basedOn w:val="Normal"/>
    <w:next w:val="Typeacteprincipal"/>
    <w:rsid w:val="00803E1D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803E1D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Normal"/>
    <w:rsid w:val="00803E1D"/>
    <w:pPr>
      <w:spacing w:before="0" w:after="360"/>
      <w:jc w:val="center"/>
    </w:pPr>
    <w:rPr>
      <w:b/>
    </w:rPr>
  </w:style>
  <w:style w:type="table" w:styleId="TableGrid">
    <w:name w:val="Table Grid"/>
    <w:basedOn w:val="TableNormal"/>
    <w:uiPriority w:val="59"/>
    <w:rsid w:val="00803E1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E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E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D10C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10C0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0C0"/>
    <w:rPr>
      <w:vertAlign w:val="superscript"/>
    </w:rPr>
  </w:style>
  <w:style w:type="character" w:customStyle="1" w:styleId="Marker">
    <w:name w:val="Marker"/>
    <w:basedOn w:val="DefaultParagraphFont"/>
    <w:rsid w:val="0044144D"/>
    <w:rPr>
      <w:color w:val="0000FF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44144D"/>
    <w:rPr>
      <w:color w:val="0000FF" w:themeColor="hyperlink"/>
      <w:u w:val="single"/>
    </w:rPr>
  </w:style>
  <w:style w:type="paragraph" w:customStyle="1" w:styleId="tbl-norm">
    <w:name w:val="tbl-norm"/>
    <w:basedOn w:val="Normal"/>
    <w:rsid w:val="0044144D"/>
    <w:pPr>
      <w:spacing w:before="100" w:beforeAutospacing="1" w:after="100" w:afterAutospacing="1"/>
      <w:jc w:val="left"/>
    </w:pPr>
    <w:rPr>
      <w:rFonts w:eastAsia="Times New Roman"/>
      <w:szCs w:val="24"/>
      <w:lang w:val="fr-BE" w:eastAsia="fr-BE"/>
    </w:rPr>
  </w:style>
  <w:style w:type="paragraph" w:customStyle="1" w:styleId="Normal1">
    <w:name w:val="Normal1"/>
    <w:basedOn w:val="Normal"/>
    <w:rsid w:val="0044144D"/>
    <w:pPr>
      <w:spacing w:before="100" w:beforeAutospacing="1" w:after="100" w:afterAutospacing="1"/>
      <w:jc w:val="left"/>
    </w:pPr>
    <w:rPr>
      <w:rFonts w:eastAsia="Times New Roman"/>
      <w:szCs w:val="24"/>
      <w:lang w:val="fr-BE" w:eastAsia="fr-BE"/>
    </w:rPr>
  </w:style>
  <w:style w:type="character" w:customStyle="1" w:styleId="superscript">
    <w:name w:val="superscript"/>
    <w:basedOn w:val="DefaultParagraphFont"/>
    <w:rsid w:val="0044144D"/>
  </w:style>
  <w:style w:type="character" w:customStyle="1" w:styleId="italics">
    <w:name w:val="italics"/>
    <w:basedOn w:val="DefaultParagraphFont"/>
    <w:rsid w:val="0044144D"/>
  </w:style>
  <w:style w:type="paragraph" w:customStyle="1" w:styleId="tbl-txt">
    <w:name w:val="tbl-txt"/>
    <w:basedOn w:val="Normal"/>
    <w:rsid w:val="001173E4"/>
    <w:pPr>
      <w:spacing w:before="100" w:beforeAutospacing="1" w:after="100" w:afterAutospacing="1"/>
      <w:jc w:val="left"/>
    </w:pPr>
    <w:rPr>
      <w:rFonts w:eastAsia="Times New Roman"/>
      <w:szCs w:val="24"/>
      <w:lang w:val="fr-BE" w:eastAsia="fr-BE"/>
    </w:rPr>
  </w:style>
  <w:style w:type="character" w:customStyle="1" w:styleId="bold">
    <w:name w:val="bold"/>
    <w:basedOn w:val="DefaultParagraphFont"/>
    <w:rsid w:val="001173E4"/>
  </w:style>
  <w:style w:type="paragraph" w:customStyle="1" w:styleId="Normal2">
    <w:name w:val="Normal2"/>
    <w:basedOn w:val="Normal"/>
    <w:rsid w:val="001173E4"/>
    <w:pPr>
      <w:spacing w:before="100" w:beforeAutospacing="1" w:after="100" w:afterAutospacing="1"/>
      <w:jc w:val="left"/>
    </w:pPr>
    <w:rPr>
      <w:rFonts w:eastAsia="Times New Roman"/>
      <w:szCs w:val="24"/>
      <w:lang w:val="fr-BE" w:eastAsia="fr-BE"/>
    </w:rPr>
  </w:style>
  <w:style w:type="character" w:customStyle="1" w:styleId="super">
    <w:name w:val="super"/>
    <w:basedOn w:val="DefaultParagraphFont"/>
    <w:rsid w:val="001173E4"/>
  </w:style>
  <w:style w:type="character" w:customStyle="1" w:styleId="italic">
    <w:name w:val="italic"/>
    <w:basedOn w:val="DefaultParagraphFont"/>
    <w:rsid w:val="001173E4"/>
  </w:style>
  <w:style w:type="paragraph" w:customStyle="1" w:styleId="Point0">
    <w:name w:val="Point 0"/>
    <w:basedOn w:val="Normal"/>
    <w:rsid w:val="00CB1320"/>
    <w:pPr>
      <w:ind w:left="850" w:hanging="850"/>
    </w:pPr>
  </w:style>
  <w:style w:type="paragraph" w:styleId="ListParagraph">
    <w:name w:val="List Paragraph"/>
    <w:basedOn w:val="Normal"/>
    <w:uiPriority w:val="34"/>
    <w:qFormat/>
    <w:rsid w:val="00486E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7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52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20"/>
    <w:rPr>
      <w:rFonts w:ascii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57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21E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pf0">
    <w:name w:val="pf0"/>
    <w:basedOn w:val="Normal"/>
    <w:rsid w:val="00897022"/>
    <w:pPr>
      <w:spacing w:before="100" w:beforeAutospacing="1" w:after="100" w:afterAutospacing="1"/>
      <w:jc w:val="left"/>
    </w:pPr>
    <w:rPr>
      <w:rFonts w:eastAsia="Times New Roman"/>
      <w:szCs w:val="24"/>
      <w:lang w:val="en-IE" w:eastAsia="en-IE"/>
    </w:rPr>
  </w:style>
  <w:style w:type="character" w:customStyle="1" w:styleId="cf01">
    <w:name w:val="cf01"/>
    <w:basedOn w:val="DefaultParagraphFont"/>
    <w:rsid w:val="0089702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efaultParagraphFont"/>
    <w:rsid w:val="00897022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897022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A425-E254-44BF-B03B-FE97CBD3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Veerle.VANHEUSDEN@ec.europa.eu</dc:creator>
  <cp:lastModifiedBy>VANHEUSDEN Veerle (SANTE)</cp:lastModifiedBy>
  <cp:revision>3</cp:revision>
  <cp:lastPrinted>2023-10-19T13:56:00Z</cp:lastPrinted>
  <dcterms:created xsi:type="dcterms:W3CDTF">2023-12-15T09:56:00Z</dcterms:created>
  <dcterms:modified xsi:type="dcterms:W3CDTF">2023-12-15T10:01:00Z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2022-09-22T14:18:40Z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ecaab92e-aedc-4f2e-b9d1-6ed3d30748b1</vt:lpwstr>
  </property>
  <property fmtid="{D5CDD505-2E9C-101B-9397-08002B2CF9AE}" pid="8" name="MSIP_Label_6bd9ddd1-4d20-43f6-abfa-fc3c07406f94_ContentBits">
    <vt:lpwstr>0</vt:lpwstr>
  </property>
</Properties>
</file>