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C99F" w14:textId="1C8F5935" w:rsidR="0084129E" w:rsidRPr="00D31F56" w:rsidRDefault="0084129E" w:rsidP="0084129E">
      <w:pPr>
        <w:jc w:val="center"/>
        <w:rPr>
          <w:b/>
          <w:lang w:val="en-IE"/>
        </w:rPr>
      </w:pPr>
      <w:r w:rsidRPr="00D31F56">
        <w:rPr>
          <w:b/>
          <w:lang w:val="en-IE"/>
        </w:rPr>
        <w:t xml:space="preserve">SANTE </w:t>
      </w:r>
      <w:r w:rsidR="001C3A8C" w:rsidRPr="00D31F56">
        <w:rPr>
          <w:b/>
          <w:lang w:val="en-IE"/>
        </w:rPr>
        <w:t>PLAN 202</w:t>
      </w:r>
      <w:r w:rsidR="005777F0" w:rsidRPr="00D31F56">
        <w:rPr>
          <w:b/>
          <w:lang w:val="en-IE"/>
        </w:rPr>
        <w:t>3</w:t>
      </w:r>
      <w:r w:rsidR="00D31F56">
        <w:rPr>
          <w:b/>
          <w:lang w:val="en-IE"/>
        </w:rPr>
        <w:t>/2345</w:t>
      </w:r>
      <w:r w:rsidR="00C236BB">
        <w:rPr>
          <w:b/>
          <w:lang w:val="en-IE"/>
        </w:rPr>
        <w:t xml:space="preserve"> </w:t>
      </w:r>
      <w:r w:rsidR="005820BF" w:rsidRPr="00D31F56">
        <w:rPr>
          <w:b/>
          <w:lang w:val="en-IE"/>
        </w:rPr>
        <w:t>Rev</w:t>
      </w:r>
      <w:r w:rsidR="006247DE" w:rsidRPr="00D31F56">
        <w:rPr>
          <w:b/>
          <w:lang w:val="en-IE"/>
        </w:rPr>
        <w:t>.</w:t>
      </w:r>
      <w:r w:rsidR="00DF53AE">
        <w:rPr>
          <w:b/>
          <w:lang w:val="en-IE"/>
        </w:rPr>
        <w:t>1</w:t>
      </w:r>
      <w:r w:rsidRPr="00D31F56">
        <w:rPr>
          <w:b/>
          <w:lang w:val="en-IE"/>
        </w:rPr>
        <w:t>.</w:t>
      </w:r>
    </w:p>
    <w:p w14:paraId="3963B4ED" w14:textId="77777777" w:rsidR="0084129E" w:rsidRPr="00D31F56" w:rsidRDefault="0084129E" w:rsidP="00EC0824">
      <w:pPr>
        <w:pStyle w:val="Typedudocument"/>
        <w:rPr>
          <w:lang w:val="en-IE"/>
        </w:rPr>
      </w:pPr>
    </w:p>
    <w:p w14:paraId="4120AB9C" w14:textId="77777777" w:rsidR="006247DE" w:rsidRPr="00D31F56" w:rsidRDefault="006247DE" w:rsidP="006247DE">
      <w:pPr>
        <w:pStyle w:val="Typedudocument"/>
        <w:rPr>
          <w:lang w:val="en-IE"/>
        </w:rPr>
      </w:pPr>
      <w:r w:rsidRPr="00D31F56">
        <w:rPr>
          <w:lang w:val="en-IE"/>
        </w:rPr>
        <w:t>COMMISSION REGULATION (EU) …/…</w:t>
      </w:r>
    </w:p>
    <w:p w14:paraId="1D644C67" w14:textId="77777777" w:rsidR="006247DE" w:rsidRPr="00A01AA1" w:rsidRDefault="006247DE" w:rsidP="006247DE">
      <w:pPr>
        <w:pStyle w:val="Datedadoption"/>
      </w:pPr>
      <w:r w:rsidRPr="000201A1">
        <w:t xml:space="preserve">of </w:t>
      </w:r>
      <w:r w:rsidRPr="000201A1">
        <w:rPr>
          <w:rStyle w:val="Marker2"/>
        </w:rPr>
        <w:t>XXX</w:t>
      </w:r>
    </w:p>
    <w:p w14:paraId="2BD3BEE5" w14:textId="55A7EFB4" w:rsidR="00A03E8F" w:rsidRDefault="006247DE" w:rsidP="00A03E8F">
      <w:pPr>
        <w:pStyle w:val="Titreobjet"/>
      </w:pPr>
      <w:r w:rsidRPr="000201A1">
        <w:t>amending Regulation (E</w:t>
      </w:r>
      <w:r w:rsidR="00D11507">
        <w:t>U</w:t>
      </w:r>
      <w:r w:rsidRPr="000201A1">
        <w:t xml:space="preserve">) </w:t>
      </w:r>
      <w:r w:rsidR="00D11507">
        <w:t>2013/915</w:t>
      </w:r>
      <w:r w:rsidRPr="000201A1">
        <w:t xml:space="preserve"> as regards </w:t>
      </w:r>
      <w:r w:rsidR="00A03E8F" w:rsidRPr="00A03E8F">
        <w:t>maxi</w:t>
      </w:r>
      <w:r w:rsidR="00850BDA">
        <w:t xml:space="preserve">mum levels of </w:t>
      </w:r>
      <w:r w:rsidR="005777F0">
        <w:t>mineral oil aromatic hydrocarbons in food</w:t>
      </w:r>
      <w:r w:rsidR="00A03E8F" w:rsidRPr="00A03E8F">
        <w:t xml:space="preserve">. </w:t>
      </w:r>
    </w:p>
    <w:p w14:paraId="754F28DC" w14:textId="77777777" w:rsidR="006247DE" w:rsidRDefault="006247DE" w:rsidP="00A03E8F">
      <w:pPr>
        <w:pStyle w:val="Titreobjet"/>
      </w:pPr>
      <w:r w:rsidRPr="000201A1">
        <w:t>(Text with EEA relevance)</w:t>
      </w:r>
    </w:p>
    <w:p w14:paraId="78DF7FAC" w14:textId="77777777" w:rsidR="00A03E8F" w:rsidRPr="00B50599" w:rsidRDefault="00A03E8F" w:rsidP="00A03E8F">
      <w:pPr>
        <w:pStyle w:val="Institutionquiagit"/>
      </w:pPr>
      <w:r w:rsidRPr="00B50599">
        <w:t>THE EUROPEAN COMMISSION,</w:t>
      </w:r>
    </w:p>
    <w:p w14:paraId="3131DE26" w14:textId="77777777" w:rsidR="00A03E8F" w:rsidRPr="00B50599" w:rsidRDefault="00A03E8F" w:rsidP="00A03E8F">
      <w:r w:rsidRPr="00B50599">
        <w:t>Having regard to the Treaty on the Functioning of the European Union,</w:t>
      </w:r>
    </w:p>
    <w:p w14:paraId="61242A99" w14:textId="77777777" w:rsidR="00A03E8F" w:rsidRPr="00B50599" w:rsidRDefault="00A03E8F" w:rsidP="00A03E8F">
      <w:pPr>
        <w:rPr>
          <w:rFonts w:eastAsia="Calibri"/>
          <w:lang w:eastAsia="de-DE"/>
        </w:rPr>
      </w:pPr>
      <w:r w:rsidRPr="00B50599">
        <w:rPr>
          <w:rFonts w:eastAsia="Calibri"/>
          <w:lang w:eastAsia="de-DE"/>
        </w:rPr>
        <w:t>Having regard to Council Regulation (EEC) No 315/93 of 8 February 1993 laying down Community procedures for contaminants in food</w:t>
      </w:r>
      <w:r w:rsidRPr="00B50599">
        <w:rPr>
          <w:rStyle w:val="FootnoteReference"/>
        </w:rPr>
        <w:footnoteReference w:id="1"/>
      </w:r>
      <w:r w:rsidRPr="00B50599">
        <w:rPr>
          <w:rFonts w:eastAsia="Calibri"/>
          <w:lang w:eastAsia="de-DE"/>
        </w:rPr>
        <w:t>, and in particular Article 2(3) thereof,</w:t>
      </w:r>
    </w:p>
    <w:p w14:paraId="438324C5" w14:textId="77777777" w:rsidR="00A03E8F" w:rsidRPr="00B50599" w:rsidRDefault="00A03E8F" w:rsidP="00A03E8F">
      <w:r w:rsidRPr="00B50599">
        <w:t>Whereas:</w:t>
      </w:r>
    </w:p>
    <w:p w14:paraId="192676B4" w14:textId="3D2A6271" w:rsidR="00A03E8F" w:rsidRPr="00264FB3" w:rsidRDefault="00A03E8F" w:rsidP="00A03E8F">
      <w:pPr>
        <w:pStyle w:val="Considrant"/>
        <w:numPr>
          <w:ilvl w:val="0"/>
          <w:numId w:val="2"/>
        </w:numPr>
        <w:rPr>
          <w:lang w:eastAsia="en-GB"/>
        </w:rPr>
      </w:pPr>
      <w:r w:rsidRPr="00080CE0">
        <w:rPr>
          <w:lang w:eastAsia="en-GB"/>
        </w:rPr>
        <w:t>Commission Regulation (</w:t>
      </w:r>
      <w:r w:rsidR="0072441E">
        <w:rPr>
          <w:lang w:eastAsia="en-GB"/>
        </w:rPr>
        <w:t>EU</w:t>
      </w:r>
      <w:r w:rsidRPr="00080CE0">
        <w:rPr>
          <w:lang w:eastAsia="en-GB"/>
        </w:rPr>
        <w:t xml:space="preserve">) </w:t>
      </w:r>
      <w:r w:rsidR="0072441E">
        <w:rPr>
          <w:lang w:eastAsia="en-GB"/>
        </w:rPr>
        <w:t>2013/915</w:t>
      </w:r>
      <w:r w:rsidRPr="00080CE0">
        <w:rPr>
          <w:rStyle w:val="FootnoteReference"/>
          <w:lang w:eastAsia="en-GB"/>
        </w:rPr>
        <w:footnoteReference w:id="2"/>
      </w:r>
      <w:r w:rsidRPr="00080CE0">
        <w:rPr>
          <w:lang w:eastAsia="en-GB"/>
        </w:rPr>
        <w:t xml:space="preserve"> sets maximum levels for </w:t>
      </w:r>
      <w:r w:rsidR="00080CE0" w:rsidRPr="00080CE0">
        <w:rPr>
          <w:lang w:eastAsia="en-GB"/>
        </w:rPr>
        <w:t xml:space="preserve">certain </w:t>
      </w:r>
      <w:r w:rsidR="00080CE0" w:rsidRPr="00264FB3">
        <w:rPr>
          <w:lang w:eastAsia="en-GB"/>
        </w:rPr>
        <w:t>contaminants in foodstuffs</w:t>
      </w:r>
      <w:r w:rsidRPr="00264FB3">
        <w:rPr>
          <w:lang w:eastAsia="en-GB"/>
        </w:rPr>
        <w:t>.</w:t>
      </w:r>
    </w:p>
    <w:p w14:paraId="46158FFC" w14:textId="14DF7DE9" w:rsidR="00471C93" w:rsidRPr="007F62C4" w:rsidRDefault="00471C93" w:rsidP="00471C93">
      <w:pPr>
        <w:pStyle w:val="Considrant"/>
        <w:numPr>
          <w:ilvl w:val="0"/>
          <w:numId w:val="2"/>
        </w:numPr>
      </w:pPr>
      <w:r w:rsidRPr="00471C93">
        <w:t>Mineral oil hydrocarbons</w:t>
      </w:r>
      <w:r w:rsidR="005777F0" w:rsidRPr="00471C93">
        <w:t xml:space="preserve"> </w:t>
      </w:r>
      <w:r w:rsidRPr="00471C93">
        <w:t>(</w:t>
      </w:r>
      <w:r w:rsidR="005777F0" w:rsidRPr="00471C93">
        <w:t>MOH</w:t>
      </w:r>
      <w:r w:rsidRPr="00471C93">
        <w:t>)</w:t>
      </w:r>
      <w:r w:rsidR="005777F0" w:rsidRPr="00471C93">
        <w:t xml:space="preserve"> are chemical compounds </w:t>
      </w:r>
      <w:r w:rsidRPr="00471C93">
        <w:t>containing 10 to about 50 carbon atoms</w:t>
      </w:r>
      <w:r>
        <w:t xml:space="preserve">, </w:t>
      </w:r>
      <w:r w:rsidRPr="00471C93">
        <w:t xml:space="preserve">which are </w:t>
      </w:r>
      <w:r w:rsidR="005777F0" w:rsidRPr="00471C93">
        <w:t>derived mainly from crude oil, but also</w:t>
      </w:r>
      <w:r w:rsidRPr="00471C93">
        <w:t xml:space="preserve"> </w:t>
      </w:r>
      <w:r w:rsidR="005777F0" w:rsidRPr="00471C93">
        <w:t xml:space="preserve">produced synthetically from coal, natural gas and biomass. MOH can </w:t>
      </w:r>
      <w:r w:rsidR="00BA17EC">
        <w:t>contaminate</w:t>
      </w:r>
      <w:r w:rsidR="005777F0" w:rsidRPr="00471C93">
        <w:t xml:space="preserve"> food in many ways,</w:t>
      </w:r>
      <w:r w:rsidRPr="00471C93">
        <w:t xml:space="preserve"> </w:t>
      </w:r>
      <w:r w:rsidR="005777F0" w:rsidRPr="00471C93">
        <w:t>such as lubricants for machinery used during harvesting and food</w:t>
      </w:r>
      <w:r w:rsidRPr="00471C93">
        <w:t xml:space="preserve"> </w:t>
      </w:r>
      <w:r w:rsidR="005777F0" w:rsidRPr="00471C93">
        <w:t>production, processing aids like release agents or dust binders, food or feed additives</w:t>
      </w:r>
      <w:r>
        <w:t xml:space="preserve">, </w:t>
      </w:r>
      <w:r w:rsidR="005777F0" w:rsidRPr="00471C93">
        <w:t>food contact</w:t>
      </w:r>
      <w:r w:rsidRPr="00471C93">
        <w:t xml:space="preserve"> </w:t>
      </w:r>
      <w:r w:rsidR="005777F0" w:rsidRPr="00471C93">
        <w:t>materials</w:t>
      </w:r>
      <w:r>
        <w:t xml:space="preserve"> </w:t>
      </w:r>
      <w:r w:rsidR="00BA17EC">
        <w:t>or</w:t>
      </w:r>
      <w:r>
        <w:t xml:space="preserve"> </w:t>
      </w:r>
      <w:r w:rsidRPr="00471C93">
        <w:t>environmental contamination</w:t>
      </w:r>
      <w:r w:rsidR="005777F0" w:rsidRPr="00471C93">
        <w:t>.</w:t>
      </w:r>
      <w:r w:rsidRPr="00471C93">
        <w:t xml:space="preserve"> MOH are divided into two main types: mineral oil saturated hydrocarbons (MOSH) and mineral oil aromatic hydrocarbons (</w:t>
      </w:r>
      <w:r w:rsidRPr="007F62C4">
        <w:t>MOAH).</w:t>
      </w:r>
    </w:p>
    <w:p w14:paraId="73A4A8C3" w14:textId="6A634B7B" w:rsidR="00080CE0" w:rsidRPr="007F62C4" w:rsidRDefault="001C3A8C" w:rsidP="00080CE0">
      <w:pPr>
        <w:pStyle w:val="Considrant"/>
        <w:numPr>
          <w:ilvl w:val="0"/>
          <w:numId w:val="2"/>
        </w:numPr>
        <w:rPr>
          <w:lang w:eastAsia="en-GB"/>
        </w:rPr>
      </w:pPr>
      <w:r w:rsidRPr="007F62C4">
        <w:rPr>
          <w:lang w:eastAsia="en-GB"/>
        </w:rPr>
        <w:t>In 201</w:t>
      </w:r>
      <w:r w:rsidR="00471C93" w:rsidRPr="007F62C4">
        <w:rPr>
          <w:lang w:eastAsia="en-GB"/>
        </w:rPr>
        <w:t>2</w:t>
      </w:r>
      <w:r w:rsidRPr="007F62C4">
        <w:rPr>
          <w:lang w:eastAsia="en-GB"/>
        </w:rPr>
        <w:t xml:space="preserve"> the European Food Safety Authority (‘the Authority’) adopted </w:t>
      </w:r>
      <w:r w:rsidR="00CA6D4E">
        <w:rPr>
          <w:lang w:eastAsia="en-GB"/>
        </w:rPr>
        <w:t>a</w:t>
      </w:r>
      <w:r w:rsidRPr="007F62C4">
        <w:rPr>
          <w:lang w:eastAsia="en-GB"/>
        </w:rPr>
        <w:t xml:space="preserve"> Scientific Opinion on </w:t>
      </w:r>
      <w:r w:rsidR="00471C93" w:rsidRPr="007F62C4">
        <w:rPr>
          <w:lang w:eastAsia="en-GB"/>
        </w:rPr>
        <w:t>mineral oil hydrocarbons in food</w:t>
      </w:r>
      <w:r w:rsidRPr="007F62C4">
        <w:rPr>
          <w:rStyle w:val="FootnoteReference"/>
          <w:lang w:eastAsia="en-GB"/>
        </w:rPr>
        <w:footnoteReference w:id="3"/>
      </w:r>
      <w:r w:rsidRPr="007F62C4">
        <w:rPr>
          <w:lang w:eastAsia="en-GB"/>
        </w:rPr>
        <w:t xml:space="preserve">. </w:t>
      </w:r>
      <w:r w:rsidR="007F62C4" w:rsidRPr="007F62C4">
        <w:rPr>
          <w:lang w:eastAsia="en-GB"/>
        </w:rPr>
        <w:t xml:space="preserve">The authority concluded that </w:t>
      </w:r>
      <w:r w:rsidR="00005D23" w:rsidRPr="00005D23">
        <w:rPr>
          <w:lang w:eastAsia="en-GB"/>
        </w:rPr>
        <w:t xml:space="preserve">that the </w:t>
      </w:r>
      <w:r w:rsidR="00005D23" w:rsidRPr="00005D23">
        <w:rPr>
          <w:lang w:eastAsia="en-GB"/>
        </w:rPr>
        <w:lastRenderedPageBreak/>
        <w:t>potential human health impact of groups of substances among the MOH vary widely. MOAH may act as genotoxic carcinogens, while some mineral oil saturated hydrocarbons (MOSH) can accumulate in human tissue and may cause adverse effects in the liver</w:t>
      </w:r>
      <w:r w:rsidR="007F62C4" w:rsidRPr="007F62C4">
        <w:rPr>
          <w:lang w:eastAsia="en-GB"/>
        </w:rPr>
        <w:t>.</w:t>
      </w:r>
      <w:r w:rsidR="00005D23">
        <w:rPr>
          <w:lang w:eastAsia="en-GB"/>
        </w:rPr>
        <w:t xml:space="preserve"> Therefore the exposure to MOSH and MOAH from food is of potential concern.</w:t>
      </w:r>
    </w:p>
    <w:p w14:paraId="0EEB24B9" w14:textId="11B540EF" w:rsidR="00A03E8F" w:rsidRDefault="00005D23" w:rsidP="00080CE0">
      <w:pPr>
        <w:pStyle w:val="Considrant"/>
        <w:numPr>
          <w:ilvl w:val="0"/>
          <w:numId w:val="2"/>
        </w:numPr>
        <w:rPr>
          <w:lang w:eastAsia="en-GB"/>
        </w:rPr>
      </w:pPr>
      <w:r w:rsidRPr="00041ECA">
        <w:rPr>
          <w:lang w:eastAsia="en-GB"/>
        </w:rPr>
        <w:t>In order to better understand the relative presence of MOSH and MOAH in food commodities that are major contributors to dietary exposure</w:t>
      </w:r>
      <w:r w:rsidR="00041ECA" w:rsidRPr="00041ECA">
        <w:rPr>
          <w:lang w:eastAsia="en-GB"/>
        </w:rPr>
        <w:t>,</w:t>
      </w:r>
      <w:r w:rsidRPr="00041ECA">
        <w:rPr>
          <w:lang w:eastAsia="en-GB"/>
        </w:rPr>
        <w:t xml:space="preserve"> by means of </w:t>
      </w:r>
      <w:r w:rsidR="00041ECA" w:rsidRPr="00041ECA">
        <w:rPr>
          <w:lang w:eastAsia="en-GB"/>
        </w:rPr>
        <w:t>Commission Recommendation (EU) 2017/84</w:t>
      </w:r>
      <w:r w:rsidR="00041ECA">
        <w:rPr>
          <w:rStyle w:val="FootnoteReference"/>
          <w:lang w:eastAsia="en-GB"/>
        </w:rPr>
        <w:footnoteReference w:id="4"/>
      </w:r>
      <w:r w:rsidR="00041ECA" w:rsidRPr="00041ECA">
        <w:rPr>
          <w:lang w:eastAsia="en-GB"/>
        </w:rPr>
        <w:t xml:space="preserve"> Member States, with the active involvement of food business operators as well as manufacturers, processors and distributers of food contact materials and other interested parties, were recommended to perform monitoring of the presence of MOH in food and food contact materials</w:t>
      </w:r>
      <w:r w:rsidR="001C3A8C" w:rsidRPr="00041ECA">
        <w:rPr>
          <w:lang w:eastAsia="en-GB"/>
        </w:rPr>
        <w:t>.</w:t>
      </w:r>
      <w:r w:rsidR="00041ECA" w:rsidRPr="00041ECA">
        <w:rPr>
          <w:lang w:eastAsia="en-GB"/>
        </w:rPr>
        <w:t xml:space="preserve"> Furthermore it was recommended that</w:t>
      </w:r>
      <w:r w:rsidR="00CA6D4E">
        <w:rPr>
          <w:lang w:eastAsia="en-GB"/>
        </w:rPr>
        <w:t>,</w:t>
      </w:r>
      <w:r w:rsidR="00041ECA" w:rsidRPr="00041ECA">
        <w:rPr>
          <w:lang w:eastAsia="en-GB"/>
        </w:rPr>
        <w:t xml:space="preserve"> where MOH are detected in food, investigations should be carried out in order to determine the sources of the contamination and measures should be implemented to prevent the occurrence of MOH in food.</w:t>
      </w:r>
    </w:p>
    <w:p w14:paraId="1DC295B4" w14:textId="596CE147" w:rsidR="001B789E" w:rsidRPr="001A6ACF" w:rsidRDefault="00957A30" w:rsidP="001B789E">
      <w:pPr>
        <w:pStyle w:val="Considrant"/>
        <w:numPr>
          <w:ilvl w:val="0"/>
          <w:numId w:val="2"/>
        </w:numPr>
      </w:pPr>
      <w:r w:rsidRPr="001A6ACF">
        <w:t xml:space="preserve">Taking into account </w:t>
      </w:r>
      <w:r w:rsidR="00AE3466" w:rsidRPr="001A6ACF">
        <w:t xml:space="preserve">these new occurrence data and </w:t>
      </w:r>
      <w:r w:rsidR="000173ED" w:rsidRPr="001A6ACF">
        <w:t xml:space="preserve">also the availability of </w:t>
      </w:r>
      <w:r w:rsidR="00AE3466" w:rsidRPr="001A6ACF">
        <w:t>new scientific information</w:t>
      </w:r>
      <w:r w:rsidR="00CA6D4E">
        <w:t>,</w:t>
      </w:r>
      <w:r w:rsidR="00AE3466" w:rsidRPr="001A6ACF">
        <w:t xml:space="preserve"> the Authority adopted on </w:t>
      </w:r>
      <w:r w:rsidR="001B789E" w:rsidRPr="001A6ACF">
        <w:t>12 July 2023</w:t>
      </w:r>
      <w:r w:rsidR="00AE3466" w:rsidRPr="001A6ACF">
        <w:t xml:space="preserve"> </w:t>
      </w:r>
      <w:r w:rsidR="00CA6D4E">
        <w:t>an</w:t>
      </w:r>
      <w:r w:rsidR="00AE3466" w:rsidRPr="001A6ACF">
        <w:t xml:space="preserve"> </w:t>
      </w:r>
      <w:r w:rsidR="001B789E" w:rsidRPr="001A6ACF">
        <w:t>update of the risk assessment of mineral oil hydrocarbons in food</w:t>
      </w:r>
      <w:r w:rsidRPr="001A6ACF">
        <w:t>.</w:t>
      </w:r>
      <w:r w:rsidR="00E045B6" w:rsidRPr="001A6ACF">
        <w:rPr>
          <w:rStyle w:val="FootnoteReference"/>
        </w:rPr>
        <w:footnoteReference w:id="5"/>
      </w:r>
    </w:p>
    <w:p w14:paraId="60CB1EFF" w14:textId="30028E24" w:rsidR="001A6ACF" w:rsidRPr="001A6ACF" w:rsidRDefault="00BF52D8" w:rsidP="001A6ACF">
      <w:pPr>
        <w:pStyle w:val="Considrant"/>
        <w:numPr>
          <w:ilvl w:val="0"/>
          <w:numId w:val="2"/>
        </w:numPr>
        <w:rPr>
          <w:lang w:eastAsia="en-GB"/>
        </w:rPr>
      </w:pPr>
      <w:r w:rsidRPr="001A6ACF">
        <w:rPr>
          <w:lang w:eastAsia="en-GB"/>
        </w:rPr>
        <w:t xml:space="preserve">The Authority concluded that </w:t>
      </w:r>
      <w:r w:rsidR="001A6ACF" w:rsidRPr="001A6ACF">
        <w:rPr>
          <w:lang w:eastAsia="en-GB"/>
        </w:rPr>
        <w:t>MOSH may accumulate in various organs but that the present dietary exposure to MOSH does not raise concern for human health</w:t>
      </w:r>
      <w:r w:rsidR="00CA6D4E">
        <w:rPr>
          <w:lang w:eastAsia="en-GB"/>
        </w:rPr>
        <w:t>,</w:t>
      </w:r>
      <w:r w:rsidR="001A6ACF" w:rsidRPr="001A6ACF">
        <w:rPr>
          <w:lang w:eastAsia="en-GB"/>
        </w:rPr>
        <w:t xml:space="preserve"> for all age classes. As regards MOAH it concluded that MOAH with 3- or more aromatic rings  </w:t>
      </w:r>
      <w:r w:rsidR="00CA6D4E">
        <w:rPr>
          <w:lang w:eastAsia="en-GB"/>
        </w:rPr>
        <w:t>may be</w:t>
      </w:r>
      <w:r w:rsidR="001A6ACF" w:rsidRPr="001A6ACF">
        <w:rPr>
          <w:lang w:eastAsia="en-GB"/>
        </w:rPr>
        <w:t xml:space="preserve"> associated with genotoxicity and carcinogenicity. Due to a lack of toxicological information on the effects of 1 and 2 ring MOAH, and to the presence of 3-or more ring MOAH in the diet</w:t>
      </w:r>
      <w:r w:rsidR="00CA6D4E">
        <w:rPr>
          <w:lang w:eastAsia="en-GB"/>
        </w:rPr>
        <w:t>,</w:t>
      </w:r>
      <w:r w:rsidR="001A6ACF" w:rsidRPr="001A6ACF">
        <w:rPr>
          <w:lang w:eastAsia="en-GB"/>
        </w:rPr>
        <w:t xml:space="preserve"> concerns for human health cannot be excluded.</w:t>
      </w:r>
    </w:p>
    <w:p w14:paraId="5749EC2E" w14:textId="7AAC29C0" w:rsidR="00BF52D8" w:rsidRPr="008B6975" w:rsidRDefault="00BF52D8" w:rsidP="00BF52D8">
      <w:pPr>
        <w:pStyle w:val="Considrant"/>
        <w:numPr>
          <w:ilvl w:val="0"/>
          <w:numId w:val="2"/>
        </w:numPr>
        <w:rPr>
          <w:lang w:eastAsia="en-GB"/>
        </w:rPr>
      </w:pPr>
      <w:r w:rsidRPr="008B6975">
        <w:rPr>
          <w:lang w:eastAsia="en-GB"/>
        </w:rPr>
        <w:t xml:space="preserve">Maximum levels for </w:t>
      </w:r>
      <w:r w:rsidR="001A6ACF" w:rsidRPr="008B6975">
        <w:rPr>
          <w:lang w:eastAsia="en-GB"/>
        </w:rPr>
        <w:t>MOAH</w:t>
      </w:r>
      <w:r w:rsidRPr="008B6975">
        <w:rPr>
          <w:lang w:eastAsia="en-GB"/>
        </w:rPr>
        <w:t xml:space="preserve"> </w:t>
      </w:r>
      <w:r w:rsidR="000173ED" w:rsidRPr="008B6975">
        <w:rPr>
          <w:lang w:eastAsia="en-GB"/>
        </w:rPr>
        <w:t xml:space="preserve">in food </w:t>
      </w:r>
      <w:r w:rsidRPr="008B6975">
        <w:rPr>
          <w:lang w:eastAsia="en-GB"/>
        </w:rPr>
        <w:t>should therefore be set</w:t>
      </w:r>
      <w:r w:rsidR="000173ED" w:rsidRPr="008B6975">
        <w:rPr>
          <w:lang w:eastAsia="en-GB"/>
        </w:rPr>
        <w:t>,</w:t>
      </w:r>
      <w:r w:rsidRPr="008B6975">
        <w:rPr>
          <w:lang w:eastAsia="en-GB"/>
        </w:rPr>
        <w:t xml:space="preserve"> to ensure a high level of human health protection. </w:t>
      </w:r>
    </w:p>
    <w:p w14:paraId="44BC5A90" w14:textId="14842393" w:rsidR="008B6975" w:rsidRPr="00D34C46" w:rsidRDefault="008B6975" w:rsidP="00722676">
      <w:pPr>
        <w:pStyle w:val="Considrant"/>
        <w:numPr>
          <w:ilvl w:val="0"/>
          <w:numId w:val="2"/>
        </w:numPr>
        <w:rPr>
          <w:lang w:eastAsia="en-GB"/>
        </w:rPr>
      </w:pPr>
      <w:r w:rsidRPr="008B6975">
        <w:rPr>
          <w:lang w:eastAsia="en-GB"/>
        </w:rPr>
        <w:t>From the occurrence data and investigations towards the sources of the contamination of food with MOAH, it has become clear that in most foods the occurrence of quantifiable concentration</w:t>
      </w:r>
      <w:r w:rsidR="00084139">
        <w:rPr>
          <w:lang w:eastAsia="en-GB"/>
        </w:rPr>
        <w:t>s</w:t>
      </w:r>
      <w:r w:rsidRPr="008B6975">
        <w:rPr>
          <w:lang w:eastAsia="en-GB"/>
        </w:rPr>
        <w:t xml:space="preserve"> of MOAH can be </w:t>
      </w:r>
      <w:r w:rsidR="00CA6D4E">
        <w:rPr>
          <w:lang w:eastAsia="en-GB"/>
        </w:rPr>
        <w:t>prevented</w:t>
      </w:r>
      <w:r w:rsidRPr="008B6975">
        <w:rPr>
          <w:lang w:eastAsia="en-GB"/>
        </w:rPr>
        <w:t>. Therefore, taking into account the ‘As Low As Reasonably Achievable Principle’ maximum levels for MOAH in food should be set at the limit of quantification.</w:t>
      </w:r>
      <w:r>
        <w:rPr>
          <w:lang w:eastAsia="en-GB"/>
        </w:rPr>
        <w:t xml:space="preserve"> Only for foods, for which it has been demonstrated that</w:t>
      </w:r>
      <w:r w:rsidR="00CA6D4E">
        <w:rPr>
          <w:lang w:eastAsia="en-GB"/>
        </w:rPr>
        <w:t>,</w:t>
      </w:r>
      <w:r>
        <w:rPr>
          <w:lang w:eastAsia="en-GB"/>
        </w:rPr>
        <w:t xml:space="preserve"> according to the currently best available  practices</w:t>
      </w:r>
      <w:r w:rsidR="00CA6D4E">
        <w:rPr>
          <w:lang w:eastAsia="en-GB"/>
        </w:rPr>
        <w:t>,</w:t>
      </w:r>
      <w:r>
        <w:rPr>
          <w:lang w:eastAsia="en-GB"/>
        </w:rPr>
        <w:t xml:space="preserve"> no concentrations below the </w:t>
      </w:r>
      <w:r w:rsidR="00DC23BE">
        <w:rPr>
          <w:lang w:eastAsia="en-GB"/>
        </w:rPr>
        <w:t>limit of quantification</w:t>
      </w:r>
      <w:r>
        <w:rPr>
          <w:lang w:eastAsia="en-GB"/>
        </w:rPr>
        <w:t xml:space="preserve"> can be achieved, maximum levels above th</w:t>
      </w:r>
      <w:r w:rsidR="00CA6D4E">
        <w:rPr>
          <w:lang w:eastAsia="en-GB"/>
        </w:rPr>
        <w:t>is</w:t>
      </w:r>
      <w:r>
        <w:rPr>
          <w:lang w:eastAsia="en-GB"/>
        </w:rPr>
        <w:t xml:space="preserve"> </w:t>
      </w:r>
      <w:r w:rsidR="00DC23BE">
        <w:rPr>
          <w:lang w:eastAsia="en-GB"/>
        </w:rPr>
        <w:t xml:space="preserve">limit of </w:t>
      </w:r>
      <w:r>
        <w:rPr>
          <w:lang w:eastAsia="en-GB"/>
        </w:rPr>
        <w:t>should be established. For those foods</w:t>
      </w:r>
      <w:r w:rsidR="00CA6D4E">
        <w:rPr>
          <w:lang w:eastAsia="en-GB"/>
        </w:rPr>
        <w:t>,</w:t>
      </w:r>
      <w:r>
        <w:rPr>
          <w:lang w:eastAsia="en-GB"/>
        </w:rPr>
        <w:t xml:space="preserve"> further investigations should </w:t>
      </w:r>
      <w:r>
        <w:rPr>
          <w:lang w:eastAsia="en-GB"/>
        </w:rPr>
        <w:lastRenderedPageBreak/>
        <w:t xml:space="preserve">be carried out in order to identify mitigation measures which should allow to further lower these </w:t>
      </w:r>
      <w:r w:rsidRPr="00D34C46">
        <w:rPr>
          <w:lang w:eastAsia="en-GB"/>
        </w:rPr>
        <w:t>maximum levels at a later stage.</w:t>
      </w:r>
    </w:p>
    <w:p w14:paraId="57A05580" w14:textId="77548B92" w:rsidR="00722676" w:rsidRPr="00D34C46" w:rsidRDefault="00722676" w:rsidP="00722676">
      <w:pPr>
        <w:pStyle w:val="Considrant"/>
        <w:numPr>
          <w:ilvl w:val="0"/>
          <w:numId w:val="2"/>
        </w:numPr>
        <w:rPr>
          <w:lang w:eastAsia="en-GB"/>
        </w:rPr>
      </w:pPr>
      <w:r w:rsidRPr="00D34C46">
        <w:rPr>
          <w:lang w:eastAsia="en-GB"/>
        </w:rPr>
        <w:t xml:space="preserve">Taking into account </w:t>
      </w:r>
      <w:r w:rsidR="00CA6D4E">
        <w:rPr>
          <w:lang w:eastAsia="en-GB"/>
        </w:rPr>
        <w:t xml:space="preserve">the fact </w:t>
      </w:r>
      <w:r w:rsidRPr="00D34C46">
        <w:rPr>
          <w:lang w:eastAsia="en-GB"/>
        </w:rPr>
        <w:t xml:space="preserve">that </w:t>
      </w:r>
      <w:r w:rsidR="008B6975" w:rsidRPr="00D34C46">
        <w:rPr>
          <w:lang w:eastAsia="en-GB"/>
        </w:rPr>
        <w:t xml:space="preserve">Member States have been enforcing </w:t>
      </w:r>
      <w:r w:rsidR="00CA6D4E">
        <w:rPr>
          <w:lang w:eastAsia="en-GB"/>
        </w:rPr>
        <w:t>controls</w:t>
      </w:r>
      <w:r w:rsidR="008B6975" w:rsidRPr="00D34C46">
        <w:rPr>
          <w:lang w:eastAsia="en-GB"/>
        </w:rPr>
        <w:t xml:space="preserve"> of MOAH on the basis of Article 14 of Regulation (EC) No 178/2002</w:t>
      </w:r>
      <w:r w:rsidR="00DC23BE">
        <w:rPr>
          <w:rStyle w:val="FootnoteReference"/>
          <w:lang w:eastAsia="en-GB"/>
        </w:rPr>
        <w:footnoteReference w:id="6"/>
      </w:r>
      <w:r w:rsidR="008B6975" w:rsidRPr="00D34C46">
        <w:rPr>
          <w:lang w:eastAsia="en-GB"/>
        </w:rPr>
        <w:t xml:space="preserve"> in infant and follow on formulae </w:t>
      </w:r>
      <w:r w:rsidR="00D34C46" w:rsidRPr="00D34C46">
        <w:rPr>
          <w:lang w:eastAsia="en-GB"/>
        </w:rPr>
        <w:t>since June 2020 and in all foods since February 2022</w:t>
      </w:r>
      <w:r w:rsidR="00CA6D4E">
        <w:rPr>
          <w:lang w:eastAsia="en-GB"/>
        </w:rPr>
        <w:t>,</w:t>
      </w:r>
      <w:r w:rsidR="00D34C46" w:rsidRPr="00D34C46">
        <w:rPr>
          <w:lang w:eastAsia="en-GB"/>
        </w:rPr>
        <w:t xml:space="preserve"> and taking into account the fact certain MOAH are genotoxic carcinogens, no transitional measures should be foreseen for products with a long shelf life </w:t>
      </w:r>
      <w:r w:rsidRPr="00D34C46">
        <w:rPr>
          <w:lang w:eastAsia="en-GB"/>
        </w:rPr>
        <w:t>that were lawfully placed on the market before the date of application of this Regulation.</w:t>
      </w:r>
    </w:p>
    <w:p w14:paraId="5E3E2466" w14:textId="22243207" w:rsidR="00A03E8F" w:rsidRPr="00D34C46" w:rsidRDefault="00A03E8F" w:rsidP="00A03E8F">
      <w:pPr>
        <w:pStyle w:val="Considrant"/>
        <w:numPr>
          <w:ilvl w:val="0"/>
          <w:numId w:val="2"/>
        </w:numPr>
        <w:rPr>
          <w:rFonts w:eastAsia="Calibri"/>
          <w:lang w:eastAsia="de-DE"/>
        </w:rPr>
      </w:pPr>
      <w:r w:rsidRPr="00D34C46">
        <w:rPr>
          <w:rFonts w:eastAsia="Calibri"/>
          <w:lang w:eastAsia="de-DE"/>
        </w:rPr>
        <w:t>Regulation (E</w:t>
      </w:r>
      <w:r w:rsidR="000865B1" w:rsidRPr="00D34C46">
        <w:rPr>
          <w:rFonts w:eastAsia="Calibri"/>
          <w:lang w:eastAsia="de-DE"/>
        </w:rPr>
        <w:t>U</w:t>
      </w:r>
      <w:r w:rsidRPr="00D34C46">
        <w:rPr>
          <w:rFonts w:eastAsia="Calibri"/>
          <w:lang w:eastAsia="de-DE"/>
        </w:rPr>
        <w:t>) No </w:t>
      </w:r>
      <w:r w:rsidR="000865B1" w:rsidRPr="00D34C46">
        <w:rPr>
          <w:rFonts w:eastAsia="Calibri"/>
          <w:lang w:eastAsia="de-DE"/>
        </w:rPr>
        <w:t>2023/915</w:t>
      </w:r>
      <w:r w:rsidRPr="00D34C46">
        <w:rPr>
          <w:rFonts w:eastAsia="Calibri"/>
          <w:lang w:eastAsia="de-DE"/>
        </w:rPr>
        <w:t xml:space="preserve"> should therefore be amended accordingly.</w:t>
      </w:r>
    </w:p>
    <w:p w14:paraId="11074CED" w14:textId="77777777" w:rsidR="00A03E8F" w:rsidRPr="00D34C46" w:rsidRDefault="00A03E8F" w:rsidP="00A03E8F">
      <w:pPr>
        <w:pStyle w:val="Considrant"/>
        <w:rPr>
          <w:lang w:eastAsia="en-GB"/>
        </w:rPr>
      </w:pPr>
      <w:r w:rsidRPr="00D34C46">
        <w:rPr>
          <w:lang w:eastAsia="en-GB"/>
        </w:rPr>
        <w:t>The</w:t>
      </w:r>
      <w:r w:rsidRPr="00D34C46">
        <w:rPr>
          <w:lang w:eastAsia="de-DE"/>
        </w:rPr>
        <w:t xml:space="preserve"> measures provided for in this Regulation are in accordance with the opinion of the Standing Committee on Plants, Animals, Food and Feed,</w:t>
      </w:r>
    </w:p>
    <w:p w14:paraId="601EDAD7" w14:textId="77777777" w:rsidR="00A03E8F" w:rsidRPr="00080CE0" w:rsidRDefault="00A03E8F" w:rsidP="00A03E8F">
      <w:pPr>
        <w:pStyle w:val="Formuledadoption"/>
      </w:pPr>
      <w:r w:rsidRPr="00080CE0">
        <w:t>HAS ADOPTED THIS REGULATION:</w:t>
      </w:r>
    </w:p>
    <w:p w14:paraId="1ABE5388" w14:textId="77777777" w:rsidR="00A03E8F" w:rsidRPr="005C16C8" w:rsidRDefault="00A03E8F" w:rsidP="00A03E8F">
      <w:pPr>
        <w:pStyle w:val="Titrearticle"/>
      </w:pPr>
      <w:r w:rsidRPr="005C16C8">
        <w:t>Article 1</w:t>
      </w:r>
    </w:p>
    <w:p w14:paraId="129751B0" w14:textId="152E3A68" w:rsidR="00A03E8F" w:rsidRPr="005C16C8" w:rsidRDefault="00A03E8F" w:rsidP="00A03E8F">
      <w:pPr>
        <w:rPr>
          <w:rFonts w:eastAsia="Calibri"/>
          <w:lang w:eastAsia="de-DE"/>
        </w:rPr>
      </w:pPr>
      <w:r w:rsidRPr="005C16C8">
        <w:rPr>
          <w:rFonts w:eastAsia="Calibri"/>
          <w:lang w:eastAsia="de-DE"/>
        </w:rPr>
        <w:t>The Annex to Regulation (E</w:t>
      </w:r>
      <w:r w:rsidR="000865B1">
        <w:rPr>
          <w:rFonts w:eastAsia="Calibri"/>
          <w:lang w:eastAsia="de-DE"/>
        </w:rPr>
        <w:t>U</w:t>
      </w:r>
      <w:r w:rsidRPr="005C16C8">
        <w:rPr>
          <w:rFonts w:eastAsia="Calibri"/>
          <w:lang w:eastAsia="de-DE"/>
        </w:rPr>
        <w:t xml:space="preserve">) </w:t>
      </w:r>
      <w:r w:rsidR="000865B1">
        <w:rPr>
          <w:rFonts w:eastAsia="Calibri"/>
          <w:lang w:eastAsia="de-DE"/>
        </w:rPr>
        <w:t>2023/915</w:t>
      </w:r>
      <w:r w:rsidRPr="005C16C8">
        <w:rPr>
          <w:rFonts w:eastAsia="Calibri"/>
          <w:lang w:eastAsia="de-DE"/>
        </w:rPr>
        <w:t xml:space="preserve"> is amended in accordance with the Annex to this Regulation.</w:t>
      </w:r>
    </w:p>
    <w:p w14:paraId="0CEF2206" w14:textId="4E1D739F" w:rsidR="00A03E8F" w:rsidRPr="005C16C8" w:rsidRDefault="00A03E8F" w:rsidP="00A03E8F">
      <w:pPr>
        <w:pStyle w:val="Titrearticle"/>
        <w:rPr>
          <w:lang w:eastAsia="de-DE"/>
        </w:rPr>
      </w:pPr>
      <w:r w:rsidRPr="005C16C8">
        <w:rPr>
          <w:lang w:eastAsia="de-DE"/>
        </w:rPr>
        <w:t>Article </w:t>
      </w:r>
      <w:r w:rsidR="005777F0">
        <w:rPr>
          <w:lang w:eastAsia="de-DE"/>
        </w:rPr>
        <w:t>2</w:t>
      </w:r>
    </w:p>
    <w:p w14:paraId="16EA1FB3" w14:textId="77777777" w:rsidR="00CA228A" w:rsidRDefault="00A03E8F" w:rsidP="00CA228A">
      <w:pPr>
        <w:rPr>
          <w:rFonts w:eastAsia="Calibri"/>
          <w:i/>
          <w:lang w:eastAsia="de-DE"/>
        </w:rPr>
      </w:pPr>
      <w:r w:rsidRPr="005C16C8">
        <w:rPr>
          <w:rFonts w:eastAsia="Calibri"/>
          <w:lang w:eastAsia="de-DE"/>
        </w:rPr>
        <w:t xml:space="preserve">This Regulation shall enter into force on the twentieth day following that of its publication in the </w:t>
      </w:r>
      <w:r w:rsidRPr="005C16C8">
        <w:rPr>
          <w:rFonts w:eastAsia="Calibri"/>
          <w:i/>
          <w:lang w:eastAsia="de-DE"/>
        </w:rPr>
        <w:t>Official Journal of the European Union.</w:t>
      </w:r>
      <w:r w:rsidR="005C16C8" w:rsidRPr="005C16C8">
        <w:rPr>
          <w:rFonts w:eastAsia="Calibri"/>
          <w:i/>
          <w:lang w:eastAsia="de-DE"/>
        </w:rPr>
        <w:t xml:space="preserve"> </w:t>
      </w:r>
    </w:p>
    <w:p w14:paraId="5056F18A" w14:textId="77777777" w:rsidR="00CA228A" w:rsidRDefault="00CA228A" w:rsidP="00CA228A">
      <w:pPr>
        <w:rPr>
          <w:rFonts w:eastAsia="Calibri"/>
          <w:i/>
          <w:lang w:eastAsia="de-DE"/>
        </w:rPr>
      </w:pPr>
    </w:p>
    <w:p w14:paraId="7A3FEE42" w14:textId="2ECED891" w:rsidR="00A03E8F" w:rsidRPr="00CA228A" w:rsidRDefault="00A03E8F" w:rsidP="00CA228A">
      <w:pPr>
        <w:rPr>
          <w:rFonts w:eastAsia="Calibri"/>
          <w:i/>
          <w:lang w:eastAsia="de-DE"/>
        </w:rPr>
      </w:pPr>
      <w:r w:rsidRPr="001F100E">
        <w:t>This Regulation shall be binding in its entirety and directly applicable in all Member States.</w:t>
      </w:r>
    </w:p>
    <w:sectPr w:rsidR="00A03E8F" w:rsidRPr="00CA228A" w:rsidSect="00E636C6">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852C" w14:textId="77777777" w:rsidR="005E4E73" w:rsidRDefault="005E4E73" w:rsidP="00140DF2">
      <w:pPr>
        <w:spacing w:before="0" w:after="0"/>
      </w:pPr>
      <w:r>
        <w:separator/>
      </w:r>
    </w:p>
  </w:endnote>
  <w:endnote w:type="continuationSeparator" w:id="0">
    <w:p w14:paraId="5FAD581B" w14:textId="77777777" w:rsidR="005E4E73" w:rsidRDefault="005E4E73" w:rsidP="00140D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FE01" w14:textId="77777777" w:rsidR="00EC0824" w:rsidRDefault="00EC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2BAB" w14:textId="77777777" w:rsidR="00E636C6" w:rsidRPr="00D43984" w:rsidRDefault="00D43984" w:rsidP="00E636C6">
    <w:pPr>
      <w:pStyle w:val="Footer"/>
      <w:rPr>
        <w:rFonts w:ascii="Arial" w:hAnsi="Arial" w:cs="Arial"/>
        <w:b/>
        <w:sz w:val="48"/>
        <w:lang w:val="es-ES"/>
      </w:rPr>
    </w:pPr>
    <w:r w:rsidRPr="00D43984">
      <w:rPr>
        <w:rFonts w:ascii="Arial" w:hAnsi="Arial" w:cs="Arial"/>
        <w:b/>
        <w:sz w:val="48"/>
        <w:lang w:val="es-ES"/>
      </w:rPr>
      <w:t>EN</w:t>
    </w:r>
    <w:r w:rsidRPr="00D43984">
      <w:rPr>
        <w:rFonts w:ascii="Arial" w:hAnsi="Arial" w:cs="Arial"/>
        <w:b/>
        <w:sz w:val="48"/>
        <w:lang w:val="es-ES"/>
      </w:rPr>
      <w:tab/>
    </w:r>
    <w:r>
      <w:fldChar w:fldCharType="begin"/>
    </w:r>
    <w:r w:rsidRPr="00D43984">
      <w:rPr>
        <w:lang w:val="es-ES"/>
      </w:rPr>
      <w:instrText xml:space="preserve"> PAGE  \* MERGEFORMAT </w:instrText>
    </w:r>
    <w:r>
      <w:fldChar w:fldCharType="separate"/>
    </w:r>
    <w:r w:rsidR="00926EBB">
      <w:rPr>
        <w:noProof/>
        <w:lang w:val="es-ES"/>
      </w:rPr>
      <w:t>2</w:t>
    </w:r>
    <w:r>
      <w:fldChar w:fldCharType="end"/>
    </w:r>
    <w:r w:rsidRPr="00D43984">
      <w:rPr>
        <w:lang w:val="es-ES"/>
      </w:rPr>
      <w:tab/>
    </w:r>
    <w:r w:rsidRPr="00D43984">
      <w:rPr>
        <w:lang w:val="es-ES"/>
      </w:rPr>
      <w:tab/>
    </w:r>
    <w:r w:rsidRPr="00D43984">
      <w:rPr>
        <w:rFonts w:ascii="Arial" w:hAnsi="Arial" w:cs="Arial"/>
        <w:b/>
        <w:sz w:val="48"/>
        <w:lang w:val="es-ES"/>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B2B" w14:textId="77777777" w:rsidR="00E636C6" w:rsidRPr="00E636C6" w:rsidRDefault="00DF53AE" w:rsidP="00E63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02EF" w14:textId="77777777" w:rsidR="005E4E73" w:rsidRDefault="005E4E73" w:rsidP="00140DF2">
      <w:pPr>
        <w:spacing w:before="0" w:after="0"/>
      </w:pPr>
      <w:r>
        <w:separator/>
      </w:r>
    </w:p>
  </w:footnote>
  <w:footnote w:type="continuationSeparator" w:id="0">
    <w:p w14:paraId="1D1E7503" w14:textId="77777777" w:rsidR="005E4E73" w:rsidRDefault="005E4E73" w:rsidP="00140DF2">
      <w:pPr>
        <w:spacing w:before="0" w:after="0"/>
      </w:pPr>
      <w:r>
        <w:continuationSeparator/>
      </w:r>
    </w:p>
  </w:footnote>
  <w:footnote w:id="1">
    <w:p w14:paraId="3526B28A" w14:textId="77777777" w:rsidR="00A03E8F" w:rsidRPr="002D3B21" w:rsidRDefault="00A03E8F" w:rsidP="00A03E8F">
      <w:pPr>
        <w:pStyle w:val="FootnoteText"/>
      </w:pPr>
      <w:r w:rsidRPr="00F03F72">
        <w:rPr>
          <w:rStyle w:val="FootnoteReference"/>
        </w:rPr>
        <w:footnoteRef/>
      </w:r>
      <w:r>
        <w:tab/>
        <w:t xml:space="preserve">OJ L 37, 13.2.1993, p. 1. </w:t>
      </w:r>
    </w:p>
  </w:footnote>
  <w:footnote w:id="2">
    <w:p w14:paraId="289C2815" w14:textId="44E0A2FC" w:rsidR="00A03E8F" w:rsidRPr="008C7ED2" w:rsidRDefault="00A03E8F" w:rsidP="00A03E8F">
      <w:pPr>
        <w:pStyle w:val="FootnoteText"/>
      </w:pPr>
      <w:r>
        <w:rPr>
          <w:rStyle w:val="FootnoteReference"/>
        </w:rPr>
        <w:footnoteRef/>
      </w:r>
      <w:r>
        <w:tab/>
      </w:r>
      <w:r w:rsidRPr="008C7ED2">
        <w:rPr>
          <w:lang w:val="en-IE"/>
        </w:rPr>
        <w:t>Commission Regulation (E</w:t>
      </w:r>
      <w:r w:rsidR="00D11507">
        <w:rPr>
          <w:lang w:val="en-IE"/>
        </w:rPr>
        <w:t>U</w:t>
      </w:r>
      <w:r w:rsidRPr="008C7ED2">
        <w:rPr>
          <w:lang w:val="en-IE"/>
        </w:rPr>
        <w:t xml:space="preserve">) </w:t>
      </w:r>
      <w:r w:rsidR="00D11507">
        <w:rPr>
          <w:lang w:val="en-IE"/>
        </w:rPr>
        <w:t>2023/915</w:t>
      </w:r>
      <w:r w:rsidRPr="008C7ED2">
        <w:rPr>
          <w:lang w:val="en-IE"/>
        </w:rPr>
        <w:t xml:space="preserve"> of </w:t>
      </w:r>
      <w:r w:rsidR="00D11507">
        <w:rPr>
          <w:lang w:val="en-IE"/>
        </w:rPr>
        <w:t>25 April 2023</w:t>
      </w:r>
      <w:r w:rsidRPr="008C7ED2">
        <w:rPr>
          <w:lang w:val="en-IE"/>
        </w:rPr>
        <w:t xml:space="preserve"> </w:t>
      </w:r>
      <w:r w:rsidR="00D11507" w:rsidRPr="00D11507">
        <w:rPr>
          <w:lang w:val="en-IE"/>
        </w:rPr>
        <w:t xml:space="preserve">on maximum levels for certain contaminants in food and repealing Regulation (EC) No 1881/2006 </w:t>
      </w:r>
      <w:r>
        <w:t xml:space="preserve">(OJ L </w:t>
      </w:r>
      <w:r w:rsidR="00D11507">
        <w:t>119</w:t>
      </w:r>
      <w:r>
        <w:t xml:space="preserve">, </w:t>
      </w:r>
      <w:r w:rsidR="00D11507">
        <w:t>5.5.2023</w:t>
      </w:r>
      <w:r>
        <w:t>, p. </w:t>
      </w:r>
      <w:r w:rsidR="00D11507">
        <w:t>103</w:t>
      </w:r>
      <w:r>
        <w:t>).</w:t>
      </w:r>
    </w:p>
  </w:footnote>
  <w:footnote w:id="3">
    <w:p w14:paraId="278636D3" w14:textId="20687137" w:rsidR="001C3A8C" w:rsidRPr="00E045B6" w:rsidRDefault="001C3A8C">
      <w:pPr>
        <w:pStyle w:val="FootnoteText"/>
        <w:rPr>
          <w:lang w:val="fr-BE"/>
        </w:rPr>
      </w:pPr>
      <w:r>
        <w:rPr>
          <w:rStyle w:val="FootnoteReference"/>
        </w:rPr>
        <w:footnoteRef/>
      </w:r>
      <w:r>
        <w:t xml:space="preserve"> </w:t>
      </w:r>
      <w:r w:rsidRPr="001C3A8C">
        <w:rPr>
          <w:lang w:val="en-IE"/>
        </w:rPr>
        <w:tab/>
      </w:r>
      <w:r w:rsidR="00E045B6" w:rsidRPr="001F5E87">
        <w:t>EFSA Panel on Contaminants in the Food Chain (CONTAM);</w:t>
      </w:r>
      <w:r w:rsidRPr="001C3A8C">
        <w:rPr>
          <w:lang w:val="en-IE"/>
        </w:rPr>
        <w:t xml:space="preserve"> </w:t>
      </w:r>
      <w:r w:rsidR="00E045B6" w:rsidRPr="00E045B6">
        <w:rPr>
          <w:lang w:val="en-IE"/>
        </w:rPr>
        <w:t xml:space="preserve">Scientific Opinion on </w:t>
      </w:r>
      <w:r w:rsidR="00471C93">
        <w:rPr>
          <w:lang w:val="en-IE"/>
        </w:rPr>
        <w:t>mineral oil hydrocarbons in food</w:t>
      </w:r>
      <w:r w:rsidR="00E045B6" w:rsidRPr="00E045B6">
        <w:rPr>
          <w:lang w:val="en-IE"/>
        </w:rPr>
        <w:t xml:space="preserve">. </w:t>
      </w:r>
      <w:r w:rsidR="00E045B6" w:rsidRPr="00E045B6">
        <w:rPr>
          <w:lang w:val="fr-BE"/>
        </w:rPr>
        <w:t xml:space="preserve">EFSA Journal </w:t>
      </w:r>
      <w:r w:rsidR="00471C93" w:rsidRPr="00471C93">
        <w:rPr>
          <w:lang w:val="fr-BE"/>
        </w:rPr>
        <w:t>2012;10(6):2704</w:t>
      </w:r>
      <w:r w:rsidR="00E045B6" w:rsidRPr="00E045B6">
        <w:rPr>
          <w:lang w:val="fr-BE"/>
        </w:rPr>
        <w:t>,</w:t>
      </w:r>
      <w:r w:rsidR="00E045B6">
        <w:rPr>
          <w:lang w:val="fr-BE"/>
        </w:rPr>
        <w:t xml:space="preserve"> </w:t>
      </w:r>
      <w:r w:rsidR="00471C93" w:rsidRPr="00471C93">
        <w:rPr>
          <w:lang w:val="fr-BE"/>
        </w:rPr>
        <w:t>https://efsa.onlinelibrary.wiley.com/doi/epdf/10.2903/j.efsa.2012.2704</w:t>
      </w:r>
      <w:r w:rsidR="00E045B6">
        <w:rPr>
          <w:lang w:val="fr-BE"/>
        </w:rPr>
        <w:t>.</w:t>
      </w:r>
    </w:p>
  </w:footnote>
  <w:footnote w:id="4">
    <w:p w14:paraId="31BAB99C" w14:textId="73FE9B39" w:rsidR="00041ECA" w:rsidRPr="00041ECA" w:rsidRDefault="00041ECA" w:rsidP="00041ECA">
      <w:pPr>
        <w:pStyle w:val="FootnoteText"/>
        <w:ind w:left="0" w:firstLine="0"/>
      </w:pPr>
      <w:r>
        <w:rPr>
          <w:rStyle w:val="FootnoteReference"/>
        </w:rPr>
        <w:footnoteRef/>
      </w:r>
      <w:r>
        <w:t xml:space="preserve"> Commission recommendation (EU) 2017/84 of 16 January 2017 on </w:t>
      </w:r>
      <w:r w:rsidRPr="00041ECA">
        <w:t>the monitoring of mineral oil hydrocarbons in food and in materials and articles intended to come into contact with food</w:t>
      </w:r>
      <w:r>
        <w:t xml:space="preserve"> (OJ L 312, </w:t>
      </w:r>
      <w:r w:rsidR="00977A35">
        <w:t>17.1.2017</w:t>
      </w:r>
      <w:r>
        <w:t>, p. </w:t>
      </w:r>
      <w:r w:rsidR="00977A35">
        <w:t>9</w:t>
      </w:r>
      <w:r>
        <w:t>5)</w:t>
      </w:r>
      <w:r>
        <w:rPr>
          <w:lang w:val="en-IE"/>
        </w:rPr>
        <w:t>.</w:t>
      </w:r>
    </w:p>
  </w:footnote>
  <w:footnote w:id="5">
    <w:p w14:paraId="2FAB93B6" w14:textId="6D3C0D16" w:rsidR="00E045B6" w:rsidRPr="00E045B6" w:rsidRDefault="00E045B6" w:rsidP="00E045B6">
      <w:pPr>
        <w:pStyle w:val="FootnoteText"/>
        <w:ind w:left="0" w:firstLine="0"/>
        <w:rPr>
          <w:lang w:val="fr-BE"/>
        </w:rPr>
      </w:pPr>
      <w:r>
        <w:rPr>
          <w:rStyle w:val="FootnoteReference"/>
        </w:rPr>
        <w:footnoteRef/>
      </w:r>
      <w:r>
        <w:t xml:space="preserve"> </w:t>
      </w:r>
      <w:r w:rsidRPr="001F5E87">
        <w:t>EFSA Panel on Contaminants in the Food Chain (CONTAM);</w:t>
      </w:r>
      <w:r w:rsidRPr="001C3A8C">
        <w:rPr>
          <w:lang w:val="en-IE"/>
        </w:rPr>
        <w:t xml:space="preserve"> Scientific Opinion on </w:t>
      </w:r>
      <w:r>
        <w:rPr>
          <w:lang w:val="en-IE"/>
        </w:rPr>
        <w:t xml:space="preserve">an update of the risk assessment of </w:t>
      </w:r>
      <w:r w:rsidR="001B789E">
        <w:rPr>
          <w:lang w:val="en-IE"/>
        </w:rPr>
        <w:t>mineral oil hydrocarbons</w:t>
      </w:r>
      <w:r>
        <w:rPr>
          <w:lang w:val="en-IE"/>
        </w:rPr>
        <w:t xml:space="preserve"> in food</w:t>
      </w:r>
      <w:r w:rsidRPr="001C3A8C">
        <w:rPr>
          <w:lang w:val="en-IE"/>
        </w:rPr>
        <w:t xml:space="preserve">. </w:t>
      </w:r>
      <w:r w:rsidRPr="00E045B6">
        <w:rPr>
          <w:lang w:val="fr-BE"/>
        </w:rPr>
        <w:t xml:space="preserve">EFSA Journal </w:t>
      </w:r>
      <w:r w:rsidR="001B789E" w:rsidRPr="001B789E">
        <w:rPr>
          <w:lang w:val="fr-BE"/>
        </w:rPr>
        <w:t>EFSA Journal 2023;21(9):8215</w:t>
      </w:r>
      <w:r w:rsidRPr="00E045B6">
        <w:rPr>
          <w:lang w:val="fr-BE"/>
        </w:rPr>
        <w:t xml:space="preserve">, </w:t>
      </w:r>
      <w:r w:rsidR="001B789E" w:rsidRPr="001B789E">
        <w:rPr>
          <w:lang w:val="fr-BE"/>
        </w:rPr>
        <w:t>https://efsa.onlinelibrary.wiley.com/doi/epdf/10.2903/j.efsa.2023.8215</w:t>
      </w:r>
      <w:r>
        <w:rPr>
          <w:lang w:val="fr-BE"/>
        </w:rPr>
        <w:t>.</w:t>
      </w:r>
    </w:p>
    <w:p w14:paraId="5829CFA0" w14:textId="644E87A1" w:rsidR="00E045B6" w:rsidRPr="00E045B6" w:rsidRDefault="00E045B6">
      <w:pPr>
        <w:pStyle w:val="FootnoteText"/>
        <w:rPr>
          <w:lang w:val="fr-BE"/>
        </w:rPr>
      </w:pPr>
    </w:p>
  </w:footnote>
  <w:footnote w:id="6">
    <w:p w14:paraId="5932A3C1" w14:textId="1CCF9473" w:rsidR="00DC23BE" w:rsidRPr="00DC23BE" w:rsidRDefault="00DC23BE" w:rsidP="00DC23BE">
      <w:pPr>
        <w:pStyle w:val="FootnoteText"/>
        <w:ind w:left="0" w:firstLine="0"/>
        <w:rPr>
          <w:lang w:val="en-IE"/>
        </w:rPr>
      </w:pPr>
      <w:r>
        <w:rPr>
          <w:rStyle w:val="FootnoteReference"/>
        </w:rPr>
        <w:footnoteRef/>
      </w:r>
      <w:r>
        <w:t xml:space="preserve"> </w:t>
      </w:r>
      <w:r w:rsidRPr="00DC23BE">
        <w:rPr>
          <w:lang w:val="en-IE"/>
        </w:rPr>
        <w:t>Regulation (EC) No 178/2002 of the E</w:t>
      </w:r>
      <w:r>
        <w:rPr>
          <w:lang w:val="en-IE"/>
        </w:rPr>
        <w:t xml:space="preserve">uropean Parliament and of the Council of 28 January 2002 </w:t>
      </w:r>
      <w:r w:rsidRPr="00DC23BE">
        <w:rPr>
          <w:lang w:val="en-IE"/>
        </w:rPr>
        <w:t>laying down the general principles and requirements of food law, establishing the European Food Safety Authority and laying down procedures in matters of food safety</w:t>
      </w:r>
      <w:r>
        <w:rPr>
          <w:lang w:val="en-IE"/>
        </w:rPr>
        <w:t xml:space="preserve"> </w:t>
      </w:r>
      <w:r w:rsidRPr="00DC23BE">
        <w:rPr>
          <w:lang w:val="en-IE"/>
        </w:rPr>
        <w:t>(OJ L 31, 1.2.2002, p. 1)</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3AE1" w14:textId="77777777" w:rsidR="00EC0824" w:rsidRDefault="00DF53AE">
    <w:pPr>
      <w:pStyle w:val="Header"/>
    </w:pPr>
    <w:r>
      <w:rPr>
        <w:noProof/>
      </w:rPr>
      <w:pict w14:anchorId="0DED0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2657" o:spid="_x0000_s1026" type="#_x0000_t136" style="position:absolute;left:0;text-align:left;margin-left:0;margin-top:0;width:456.85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42DA" w14:textId="77777777" w:rsidR="00EC0824" w:rsidRPr="001C1A9D" w:rsidRDefault="00DF53AE" w:rsidP="00EC0824">
    <w:pPr>
      <w:pBdr>
        <w:top w:val="single" w:sz="4" w:space="0" w:color="auto"/>
        <w:left w:val="single" w:sz="4" w:space="4" w:color="auto"/>
        <w:bottom w:val="single" w:sz="4" w:space="1" w:color="auto"/>
        <w:right w:val="single" w:sz="4" w:space="4" w:color="auto"/>
      </w:pBdr>
      <w:spacing w:before="0" w:after="240"/>
      <w:rPr>
        <w:rFonts w:eastAsia="Times New Roman"/>
        <w:i/>
        <w:sz w:val="28"/>
        <w:szCs w:val="28"/>
      </w:rPr>
    </w:pPr>
    <w:r>
      <w:rPr>
        <w:noProof/>
      </w:rPr>
      <w:pict w14:anchorId="5A5EA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2658" o:spid="_x0000_s1027" type="#_x0000_t136" style="position:absolute;left:0;text-align:left;margin-left:0;margin-top:0;width:456.85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C0824" w:rsidRPr="001C1A9D">
      <w:rPr>
        <w:rFonts w:eastAsia="Times New Roman"/>
        <w:i/>
        <w:sz w:val="28"/>
        <w:szCs w:val="28"/>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 </w:t>
    </w:r>
  </w:p>
  <w:p w14:paraId="5F808A92" w14:textId="77777777" w:rsidR="00EC0824" w:rsidRDefault="00EC0824">
    <w:pPr>
      <w:pStyle w:val="Header"/>
    </w:pPr>
  </w:p>
  <w:p w14:paraId="6150FA06" w14:textId="77777777" w:rsidR="00EC0824" w:rsidRDefault="00EC0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06B4" w14:textId="77777777" w:rsidR="00EC0824" w:rsidRDefault="00DF53AE">
    <w:pPr>
      <w:pStyle w:val="Header"/>
    </w:pPr>
    <w:r>
      <w:rPr>
        <w:noProof/>
      </w:rPr>
      <w:pict w14:anchorId="7D335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2656" o:spid="_x0000_s1025" type="#_x0000_t136" style="position:absolute;left:0;text-align:left;margin-left:0;margin-top:0;width:456.85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36354452">
    <w:abstractNumId w:val="0"/>
  </w:num>
  <w:num w:numId="2" w16cid:durableId="446196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40DF2"/>
    <w:rsid w:val="000030D7"/>
    <w:rsid w:val="00005D23"/>
    <w:rsid w:val="00011564"/>
    <w:rsid w:val="000150DE"/>
    <w:rsid w:val="000173ED"/>
    <w:rsid w:val="000401EF"/>
    <w:rsid w:val="00041ECA"/>
    <w:rsid w:val="000505A2"/>
    <w:rsid w:val="00051166"/>
    <w:rsid w:val="00061776"/>
    <w:rsid w:val="00074243"/>
    <w:rsid w:val="00080CE0"/>
    <w:rsid w:val="00084139"/>
    <w:rsid w:val="000865B1"/>
    <w:rsid w:val="000A0610"/>
    <w:rsid w:val="000A4189"/>
    <w:rsid w:val="000B68A1"/>
    <w:rsid w:val="000D1A54"/>
    <w:rsid w:val="000D66C6"/>
    <w:rsid w:val="001049D5"/>
    <w:rsid w:val="00106700"/>
    <w:rsid w:val="00116D87"/>
    <w:rsid w:val="0014037B"/>
    <w:rsid w:val="00140CB5"/>
    <w:rsid w:val="00140DF2"/>
    <w:rsid w:val="00141D32"/>
    <w:rsid w:val="00152A35"/>
    <w:rsid w:val="00164523"/>
    <w:rsid w:val="001833E2"/>
    <w:rsid w:val="001A1E34"/>
    <w:rsid w:val="001A210D"/>
    <w:rsid w:val="001A25C9"/>
    <w:rsid w:val="001A6ACF"/>
    <w:rsid w:val="001B789E"/>
    <w:rsid w:val="001B7B11"/>
    <w:rsid w:val="001C3A8C"/>
    <w:rsid w:val="001C570E"/>
    <w:rsid w:val="001C65C1"/>
    <w:rsid w:val="001D0182"/>
    <w:rsid w:val="001D0C72"/>
    <w:rsid w:val="001D0F48"/>
    <w:rsid w:val="001D4656"/>
    <w:rsid w:val="001D5EDA"/>
    <w:rsid w:val="001F0008"/>
    <w:rsid w:val="001F0A51"/>
    <w:rsid w:val="001F100E"/>
    <w:rsid w:val="001F2AA1"/>
    <w:rsid w:val="002031D8"/>
    <w:rsid w:val="00210F76"/>
    <w:rsid w:val="00216FA6"/>
    <w:rsid w:val="00222B7F"/>
    <w:rsid w:val="0023327E"/>
    <w:rsid w:val="00244B77"/>
    <w:rsid w:val="0024613D"/>
    <w:rsid w:val="00264FB3"/>
    <w:rsid w:val="002821AB"/>
    <w:rsid w:val="002A6C4F"/>
    <w:rsid w:val="002B1AA7"/>
    <w:rsid w:val="002B1DD7"/>
    <w:rsid w:val="002B601E"/>
    <w:rsid w:val="002C24C4"/>
    <w:rsid w:val="002D3AF5"/>
    <w:rsid w:val="002F2D57"/>
    <w:rsid w:val="002F5898"/>
    <w:rsid w:val="0030441F"/>
    <w:rsid w:val="0030594A"/>
    <w:rsid w:val="003062DA"/>
    <w:rsid w:val="00307438"/>
    <w:rsid w:val="00314923"/>
    <w:rsid w:val="0034373C"/>
    <w:rsid w:val="003445E8"/>
    <w:rsid w:val="00347475"/>
    <w:rsid w:val="003544DF"/>
    <w:rsid w:val="0035613E"/>
    <w:rsid w:val="003579F3"/>
    <w:rsid w:val="00385B76"/>
    <w:rsid w:val="003972A0"/>
    <w:rsid w:val="003A0104"/>
    <w:rsid w:val="003B69EB"/>
    <w:rsid w:val="003B7ED0"/>
    <w:rsid w:val="003C47D1"/>
    <w:rsid w:val="003D4D95"/>
    <w:rsid w:val="003E2BFC"/>
    <w:rsid w:val="003E60AA"/>
    <w:rsid w:val="003F0E02"/>
    <w:rsid w:val="0040070E"/>
    <w:rsid w:val="0040627B"/>
    <w:rsid w:val="0041332B"/>
    <w:rsid w:val="00416120"/>
    <w:rsid w:val="004175AB"/>
    <w:rsid w:val="0044067C"/>
    <w:rsid w:val="00447DD8"/>
    <w:rsid w:val="00467552"/>
    <w:rsid w:val="00471C93"/>
    <w:rsid w:val="004738BE"/>
    <w:rsid w:val="00482449"/>
    <w:rsid w:val="004835C1"/>
    <w:rsid w:val="004928D3"/>
    <w:rsid w:val="0049612D"/>
    <w:rsid w:val="004C24AC"/>
    <w:rsid w:val="004C3621"/>
    <w:rsid w:val="004D3409"/>
    <w:rsid w:val="004D5E38"/>
    <w:rsid w:val="004E0063"/>
    <w:rsid w:val="004E1D6D"/>
    <w:rsid w:val="004E5BB3"/>
    <w:rsid w:val="00504D91"/>
    <w:rsid w:val="00522EF7"/>
    <w:rsid w:val="00530FAF"/>
    <w:rsid w:val="00535F79"/>
    <w:rsid w:val="0054006A"/>
    <w:rsid w:val="00542039"/>
    <w:rsid w:val="005675E9"/>
    <w:rsid w:val="00570AE8"/>
    <w:rsid w:val="00576E70"/>
    <w:rsid w:val="005777F0"/>
    <w:rsid w:val="005820BF"/>
    <w:rsid w:val="00584A8C"/>
    <w:rsid w:val="0059006C"/>
    <w:rsid w:val="005C16C8"/>
    <w:rsid w:val="005D5F5E"/>
    <w:rsid w:val="005D7EC4"/>
    <w:rsid w:val="005E4E73"/>
    <w:rsid w:val="005E7FC6"/>
    <w:rsid w:val="0060265F"/>
    <w:rsid w:val="006247DE"/>
    <w:rsid w:val="00627B48"/>
    <w:rsid w:val="00673240"/>
    <w:rsid w:val="00684808"/>
    <w:rsid w:val="006877A1"/>
    <w:rsid w:val="0069099F"/>
    <w:rsid w:val="006924D0"/>
    <w:rsid w:val="00692C15"/>
    <w:rsid w:val="00697049"/>
    <w:rsid w:val="006971A2"/>
    <w:rsid w:val="0069799B"/>
    <w:rsid w:val="006A39D3"/>
    <w:rsid w:val="006C36BA"/>
    <w:rsid w:val="006E6D2E"/>
    <w:rsid w:val="006F1F84"/>
    <w:rsid w:val="00711AF2"/>
    <w:rsid w:val="007158F9"/>
    <w:rsid w:val="00722676"/>
    <w:rsid w:val="0072441E"/>
    <w:rsid w:val="00733B95"/>
    <w:rsid w:val="007677A5"/>
    <w:rsid w:val="00774230"/>
    <w:rsid w:val="007742B4"/>
    <w:rsid w:val="00797C7A"/>
    <w:rsid w:val="007B0F02"/>
    <w:rsid w:val="007C76D6"/>
    <w:rsid w:val="007D5BD7"/>
    <w:rsid w:val="007E36E4"/>
    <w:rsid w:val="007F1094"/>
    <w:rsid w:val="007F3C1E"/>
    <w:rsid w:val="007F62C4"/>
    <w:rsid w:val="00801C23"/>
    <w:rsid w:val="008146F1"/>
    <w:rsid w:val="0082496D"/>
    <w:rsid w:val="00831D96"/>
    <w:rsid w:val="0083542D"/>
    <w:rsid w:val="00837D74"/>
    <w:rsid w:val="0084129E"/>
    <w:rsid w:val="00850BDA"/>
    <w:rsid w:val="00850DC9"/>
    <w:rsid w:val="00855729"/>
    <w:rsid w:val="00857CB3"/>
    <w:rsid w:val="00861FAC"/>
    <w:rsid w:val="00863879"/>
    <w:rsid w:val="0087192F"/>
    <w:rsid w:val="008727A4"/>
    <w:rsid w:val="00893E57"/>
    <w:rsid w:val="008A50B1"/>
    <w:rsid w:val="008B4182"/>
    <w:rsid w:val="008B6975"/>
    <w:rsid w:val="008C34D5"/>
    <w:rsid w:val="008F1F91"/>
    <w:rsid w:val="008F472E"/>
    <w:rsid w:val="008F5485"/>
    <w:rsid w:val="00903E03"/>
    <w:rsid w:val="00923478"/>
    <w:rsid w:val="00926EBB"/>
    <w:rsid w:val="00932621"/>
    <w:rsid w:val="00937704"/>
    <w:rsid w:val="0093777C"/>
    <w:rsid w:val="00943A1A"/>
    <w:rsid w:val="00951023"/>
    <w:rsid w:val="00953C36"/>
    <w:rsid w:val="00957A30"/>
    <w:rsid w:val="0096197E"/>
    <w:rsid w:val="00974BCC"/>
    <w:rsid w:val="00977A35"/>
    <w:rsid w:val="009874B7"/>
    <w:rsid w:val="009B6C7F"/>
    <w:rsid w:val="009C5DD2"/>
    <w:rsid w:val="009D27E5"/>
    <w:rsid w:val="009D38EC"/>
    <w:rsid w:val="009F0B36"/>
    <w:rsid w:val="009F75DB"/>
    <w:rsid w:val="00A03E8F"/>
    <w:rsid w:val="00A07FAF"/>
    <w:rsid w:val="00A27772"/>
    <w:rsid w:val="00A3284E"/>
    <w:rsid w:val="00A462C9"/>
    <w:rsid w:val="00A5019F"/>
    <w:rsid w:val="00A601AF"/>
    <w:rsid w:val="00A6272A"/>
    <w:rsid w:val="00A726C9"/>
    <w:rsid w:val="00AB0AF1"/>
    <w:rsid w:val="00AB563F"/>
    <w:rsid w:val="00AE1303"/>
    <w:rsid w:val="00AE2A50"/>
    <w:rsid w:val="00AE3466"/>
    <w:rsid w:val="00AF5366"/>
    <w:rsid w:val="00AF56CE"/>
    <w:rsid w:val="00B07B42"/>
    <w:rsid w:val="00B129A4"/>
    <w:rsid w:val="00B4513D"/>
    <w:rsid w:val="00B546EB"/>
    <w:rsid w:val="00B74839"/>
    <w:rsid w:val="00BA17EC"/>
    <w:rsid w:val="00BA636F"/>
    <w:rsid w:val="00BA6562"/>
    <w:rsid w:val="00BC117B"/>
    <w:rsid w:val="00BD639E"/>
    <w:rsid w:val="00BF52D8"/>
    <w:rsid w:val="00BF5577"/>
    <w:rsid w:val="00C046B5"/>
    <w:rsid w:val="00C122EA"/>
    <w:rsid w:val="00C22302"/>
    <w:rsid w:val="00C236BB"/>
    <w:rsid w:val="00C27516"/>
    <w:rsid w:val="00C3233D"/>
    <w:rsid w:val="00C40D22"/>
    <w:rsid w:val="00C4651B"/>
    <w:rsid w:val="00C569A1"/>
    <w:rsid w:val="00CA03DF"/>
    <w:rsid w:val="00CA228A"/>
    <w:rsid w:val="00CA2985"/>
    <w:rsid w:val="00CA6D4E"/>
    <w:rsid w:val="00CB2E0A"/>
    <w:rsid w:val="00CB54E1"/>
    <w:rsid w:val="00CD4133"/>
    <w:rsid w:val="00CF723B"/>
    <w:rsid w:val="00D11507"/>
    <w:rsid w:val="00D129B5"/>
    <w:rsid w:val="00D30C5D"/>
    <w:rsid w:val="00D316CB"/>
    <w:rsid w:val="00D31F56"/>
    <w:rsid w:val="00D34C46"/>
    <w:rsid w:val="00D40068"/>
    <w:rsid w:val="00D43984"/>
    <w:rsid w:val="00D5443E"/>
    <w:rsid w:val="00D55D42"/>
    <w:rsid w:val="00D629EE"/>
    <w:rsid w:val="00D66F68"/>
    <w:rsid w:val="00D94ED0"/>
    <w:rsid w:val="00D964C0"/>
    <w:rsid w:val="00D97C45"/>
    <w:rsid w:val="00DC23BE"/>
    <w:rsid w:val="00DD33A0"/>
    <w:rsid w:val="00DD6701"/>
    <w:rsid w:val="00DD6A97"/>
    <w:rsid w:val="00DE0369"/>
    <w:rsid w:val="00DE5633"/>
    <w:rsid w:val="00DF53AE"/>
    <w:rsid w:val="00E045B6"/>
    <w:rsid w:val="00E12DEB"/>
    <w:rsid w:val="00E20107"/>
    <w:rsid w:val="00E23080"/>
    <w:rsid w:val="00E33F9C"/>
    <w:rsid w:val="00E346E3"/>
    <w:rsid w:val="00E40AAA"/>
    <w:rsid w:val="00E42633"/>
    <w:rsid w:val="00E6789E"/>
    <w:rsid w:val="00E75A26"/>
    <w:rsid w:val="00E82AB0"/>
    <w:rsid w:val="00E96E37"/>
    <w:rsid w:val="00EA2B7A"/>
    <w:rsid w:val="00EA4048"/>
    <w:rsid w:val="00EC0824"/>
    <w:rsid w:val="00EE3187"/>
    <w:rsid w:val="00EE4B52"/>
    <w:rsid w:val="00EF7D25"/>
    <w:rsid w:val="00F04FD7"/>
    <w:rsid w:val="00F13393"/>
    <w:rsid w:val="00F54389"/>
    <w:rsid w:val="00F828BA"/>
    <w:rsid w:val="00FA36D3"/>
    <w:rsid w:val="00FB1C6B"/>
    <w:rsid w:val="00FB5073"/>
    <w:rsid w:val="00FB5ABD"/>
    <w:rsid w:val="00FB5F4C"/>
    <w:rsid w:val="00FC40A2"/>
    <w:rsid w:val="00FF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3D46"/>
  <w15:docId w15:val="{9CCA39A7-5A12-413B-92C3-5148CBBB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F2"/>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40DF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rsid w:val="00140DF2"/>
    <w:rPr>
      <w:rFonts w:ascii="Times New Roman" w:hAnsi="Times New Roman" w:cs="Times New Roman"/>
      <w:sz w:val="24"/>
    </w:rPr>
  </w:style>
  <w:style w:type="paragraph" w:styleId="FootnoteText">
    <w:name w:val="footnote text"/>
    <w:basedOn w:val="Normal"/>
    <w:link w:val="FootnoteTextChar"/>
    <w:uiPriority w:val="99"/>
    <w:semiHidden/>
    <w:unhideWhenUsed/>
    <w:rsid w:val="00140DF2"/>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140DF2"/>
    <w:rPr>
      <w:rFonts w:ascii="Times New Roman" w:hAnsi="Times New Roman" w:cs="Times New Roman"/>
      <w:sz w:val="20"/>
      <w:szCs w:val="20"/>
    </w:rPr>
  </w:style>
  <w:style w:type="character" w:styleId="FootnoteReference">
    <w:name w:val="footnote reference"/>
    <w:basedOn w:val="DefaultParagraphFont"/>
    <w:uiPriority w:val="99"/>
    <w:unhideWhenUsed/>
    <w:rsid w:val="00140DF2"/>
    <w:rPr>
      <w:shd w:val="clear" w:color="auto" w:fill="auto"/>
      <w:vertAlign w:val="superscript"/>
    </w:rPr>
  </w:style>
  <w:style w:type="character" w:customStyle="1" w:styleId="Marker">
    <w:name w:val="Marker"/>
    <w:basedOn w:val="DefaultParagraphFont"/>
    <w:rsid w:val="00140DF2"/>
    <w:rPr>
      <w:color w:val="0000FF"/>
      <w:shd w:val="clear" w:color="auto" w:fill="auto"/>
    </w:rPr>
  </w:style>
  <w:style w:type="character" w:customStyle="1" w:styleId="Marker2">
    <w:name w:val="Marker2"/>
    <w:basedOn w:val="DefaultParagraphFont"/>
    <w:rsid w:val="00140DF2"/>
    <w:rPr>
      <w:color w:val="FF0000"/>
      <w:shd w:val="clear" w:color="auto" w:fill="auto"/>
    </w:rPr>
  </w:style>
  <w:style w:type="paragraph" w:customStyle="1" w:styleId="Applicationdirecte">
    <w:name w:val="Application directe"/>
    <w:basedOn w:val="Normal"/>
    <w:next w:val="Fait"/>
    <w:rsid w:val="00140DF2"/>
    <w:pPr>
      <w:spacing w:before="480"/>
    </w:pPr>
  </w:style>
  <w:style w:type="paragraph" w:customStyle="1" w:styleId="Considrant">
    <w:name w:val="Considérant"/>
    <w:basedOn w:val="Normal"/>
    <w:rsid w:val="00140DF2"/>
    <w:pPr>
      <w:numPr>
        <w:numId w:val="1"/>
      </w:numPr>
    </w:pPr>
  </w:style>
  <w:style w:type="paragraph" w:customStyle="1" w:styleId="Datedadoption">
    <w:name w:val="Date d'adoption"/>
    <w:basedOn w:val="Normal"/>
    <w:next w:val="Titreobjet"/>
    <w:rsid w:val="00140DF2"/>
    <w:pPr>
      <w:spacing w:before="360" w:after="0"/>
      <w:jc w:val="center"/>
    </w:pPr>
    <w:rPr>
      <w:b/>
    </w:rPr>
  </w:style>
  <w:style w:type="paragraph" w:customStyle="1" w:styleId="Fait">
    <w:name w:val="Fait à"/>
    <w:basedOn w:val="Normal"/>
    <w:next w:val="Institutionquisigne"/>
    <w:rsid w:val="00140DF2"/>
    <w:pPr>
      <w:keepNext/>
      <w:spacing w:after="0"/>
    </w:pPr>
  </w:style>
  <w:style w:type="paragraph" w:customStyle="1" w:styleId="Formuledadoption">
    <w:name w:val="Formule d'adoption"/>
    <w:basedOn w:val="Normal"/>
    <w:next w:val="Titrearticle"/>
    <w:rsid w:val="00140DF2"/>
    <w:pPr>
      <w:keepNext/>
    </w:pPr>
  </w:style>
  <w:style w:type="paragraph" w:customStyle="1" w:styleId="Institutionquiagit">
    <w:name w:val="Institution qui agit"/>
    <w:basedOn w:val="Normal"/>
    <w:next w:val="Normal"/>
    <w:rsid w:val="00140DF2"/>
    <w:pPr>
      <w:keepNext/>
      <w:spacing w:before="600"/>
    </w:pPr>
  </w:style>
  <w:style w:type="paragraph" w:customStyle="1" w:styleId="Institutionquisigne">
    <w:name w:val="Institution qui signe"/>
    <w:basedOn w:val="Normal"/>
    <w:next w:val="Personnequisigne"/>
    <w:rsid w:val="00140DF2"/>
    <w:pPr>
      <w:keepNext/>
      <w:tabs>
        <w:tab w:val="left" w:pos="4252"/>
      </w:tabs>
      <w:spacing w:before="720" w:after="0"/>
    </w:pPr>
    <w:rPr>
      <w:i/>
    </w:rPr>
  </w:style>
  <w:style w:type="paragraph" w:customStyle="1" w:styleId="Personnequisigne">
    <w:name w:val="Personne qui signe"/>
    <w:basedOn w:val="Normal"/>
    <w:next w:val="Institutionquisigne"/>
    <w:rsid w:val="00140DF2"/>
    <w:pPr>
      <w:tabs>
        <w:tab w:val="left" w:pos="4252"/>
      </w:tabs>
      <w:spacing w:before="0" w:after="0"/>
      <w:jc w:val="left"/>
    </w:pPr>
    <w:rPr>
      <w:i/>
    </w:rPr>
  </w:style>
  <w:style w:type="paragraph" w:customStyle="1" w:styleId="Titrearticle">
    <w:name w:val="Titre article"/>
    <w:basedOn w:val="Normal"/>
    <w:next w:val="Normal"/>
    <w:rsid w:val="00140DF2"/>
    <w:pPr>
      <w:keepNext/>
      <w:spacing w:before="360"/>
      <w:jc w:val="center"/>
    </w:pPr>
    <w:rPr>
      <w:i/>
    </w:rPr>
  </w:style>
  <w:style w:type="paragraph" w:customStyle="1" w:styleId="Titreobjet">
    <w:name w:val="Titre objet"/>
    <w:basedOn w:val="Normal"/>
    <w:next w:val="Normal"/>
    <w:rsid w:val="00140DF2"/>
    <w:pPr>
      <w:spacing w:before="360" w:after="360"/>
      <w:jc w:val="center"/>
    </w:pPr>
    <w:rPr>
      <w:b/>
    </w:rPr>
  </w:style>
  <w:style w:type="paragraph" w:customStyle="1" w:styleId="Typedudocument">
    <w:name w:val="Type du document"/>
    <w:basedOn w:val="Normal"/>
    <w:next w:val="Titreobjet"/>
    <w:rsid w:val="00140DF2"/>
    <w:pPr>
      <w:spacing w:before="360" w:after="0"/>
      <w:jc w:val="center"/>
    </w:pPr>
    <w:rPr>
      <w:b/>
    </w:rPr>
  </w:style>
  <w:style w:type="paragraph" w:customStyle="1" w:styleId="Pagedecouverture">
    <w:name w:val="Page de couverture"/>
    <w:basedOn w:val="Normal"/>
    <w:next w:val="Normal"/>
    <w:rsid w:val="00140DF2"/>
    <w:pPr>
      <w:spacing w:before="0" w:after="0"/>
    </w:pPr>
  </w:style>
  <w:style w:type="paragraph" w:styleId="BalloonText">
    <w:name w:val="Balloon Text"/>
    <w:basedOn w:val="Normal"/>
    <w:link w:val="BalloonTextChar"/>
    <w:uiPriority w:val="99"/>
    <w:semiHidden/>
    <w:unhideWhenUsed/>
    <w:rsid w:val="00140D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F2"/>
    <w:rPr>
      <w:rFonts w:ascii="Tahoma" w:hAnsi="Tahoma" w:cs="Tahoma"/>
      <w:sz w:val="16"/>
      <w:szCs w:val="16"/>
    </w:rPr>
  </w:style>
  <w:style w:type="paragraph" w:styleId="Header">
    <w:name w:val="header"/>
    <w:basedOn w:val="Normal"/>
    <w:link w:val="HeaderChar"/>
    <w:uiPriority w:val="99"/>
    <w:unhideWhenUsed/>
    <w:rsid w:val="00D43984"/>
    <w:pPr>
      <w:tabs>
        <w:tab w:val="center" w:pos="4536"/>
        <w:tab w:val="right" w:pos="9072"/>
      </w:tabs>
      <w:spacing w:before="0" w:after="0"/>
    </w:pPr>
  </w:style>
  <w:style w:type="character" w:customStyle="1" w:styleId="HeaderChar">
    <w:name w:val="Header Char"/>
    <w:basedOn w:val="DefaultParagraphFont"/>
    <w:link w:val="Header"/>
    <w:uiPriority w:val="99"/>
    <w:rsid w:val="00D43984"/>
    <w:rPr>
      <w:rFonts w:ascii="Times New Roman" w:hAnsi="Times New Roman" w:cs="Times New Roman"/>
      <w:sz w:val="24"/>
    </w:rPr>
  </w:style>
  <w:style w:type="paragraph" w:customStyle="1" w:styleId="HeaderLandscape">
    <w:name w:val="HeaderLandscape"/>
    <w:basedOn w:val="Normal"/>
    <w:rsid w:val="00893E57"/>
    <w:pPr>
      <w:tabs>
        <w:tab w:val="center" w:pos="7285"/>
        <w:tab w:val="right" w:pos="14003"/>
      </w:tabs>
      <w:spacing w:before="0"/>
    </w:pPr>
  </w:style>
  <w:style w:type="paragraph" w:customStyle="1" w:styleId="FooterLandscape">
    <w:name w:val="FooterLandscape"/>
    <w:basedOn w:val="Normal"/>
    <w:rsid w:val="00893E57"/>
    <w:pPr>
      <w:tabs>
        <w:tab w:val="center" w:pos="7285"/>
        <w:tab w:val="center" w:pos="10913"/>
        <w:tab w:val="right" w:pos="15137"/>
      </w:tabs>
      <w:spacing w:before="360" w:after="0"/>
      <w:ind w:left="-567" w:right="-567"/>
      <w:jc w:val="left"/>
    </w:pPr>
  </w:style>
  <w:style w:type="paragraph" w:customStyle="1" w:styleId="IntrtEEE">
    <w:name w:val="Intérêt EEE"/>
    <w:basedOn w:val="Normal"/>
    <w:next w:val="Normal"/>
    <w:rsid w:val="006247DE"/>
    <w:pPr>
      <w:spacing w:before="360" w:after="240"/>
      <w:jc w:val="center"/>
    </w:pPr>
  </w:style>
  <w:style w:type="paragraph" w:styleId="EndnoteText">
    <w:name w:val="endnote text"/>
    <w:basedOn w:val="Normal"/>
    <w:link w:val="EndnoteTextChar"/>
    <w:uiPriority w:val="99"/>
    <w:semiHidden/>
    <w:unhideWhenUsed/>
    <w:rsid w:val="001C3A8C"/>
    <w:pPr>
      <w:spacing w:before="0" w:after="0"/>
    </w:pPr>
    <w:rPr>
      <w:sz w:val="20"/>
      <w:szCs w:val="20"/>
    </w:rPr>
  </w:style>
  <w:style w:type="character" w:customStyle="1" w:styleId="EndnoteTextChar">
    <w:name w:val="Endnote Text Char"/>
    <w:basedOn w:val="DefaultParagraphFont"/>
    <w:link w:val="EndnoteText"/>
    <w:uiPriority w:val="99"/>
    <w:semiHidden/>
    <w:rsid w:val="001C3A8C"/>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C3A8C"/>
    <w:rPr>
      <w:vertAlign w:val="superscript"/>
    </w:rPr>
  </w:style>
  <w:style w:type="paragraph" w:styleId="Revision">
    <w:name w:val="Revision"/>
    <w:hidden/>
    <w:uiPriority w:val="99"/>
    <w:semiHidden/>
    <w:rsid w:val="00BA17EC"/>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CA6D4E"/>
    <w:rPr>
      <w:sz w:val="16"/>
      <w:szCs w:val="16"/>
    </w:rPr>
  </w:style>
  <w:style w:type="paragraph" w:styleId="CommentText">
    <w:name w:val="annotation text"/>
    <w:basedOn w:val="Normal"/>
    <w:link w:val="CommentTextChar"/>
    <w:uiPriority w:val="99"/>
    <w:unhideWhenUsed/>
    <w:rsid w:val="00CA6D4E"/>
    <w:rPr>
      <w:sz w:val="20"/>
      <w:szCs w:val="20"/>
    </w:rPr>
  </w:style>
  <w:style w:type="character" w:customStyle="1" w:styleId="CommentTextChar">
    <w:name w:val="Comment Text Char"/>
    <w:basedOn w:val="DefaultParagraphFont"/>
    <w:link w:val="CommentText"/>
    <w:uiPriority w:val="99"/>
    <w:rsid w:val="00CA6D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D4E"/>
    <w:rPr>
      <w:b/>
      <w:bCs/>
    </w:rPr>
  </w:style>
  <w:style w:type="character" w:customStyle="1" w:styleId="CommentSubjectChar">
    <w:name w:val="Comment Subject Char"/>
    <w:basedOn w:val="CommentTextChar"/>
    <w:link w:val="CommentSubject"/>
    <w:uiPriority w:val="99"/>
    <w:semiHidden/>
    <w:rsid w:val="00CA6D4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1609-B833-4346-872E-72AC69D1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Veerle.VANHEUSDEN@ec.europa.eu</dc:creator>
  <cp:lastModifiedBy>VANHEUSDEN Veerle (SANTE)</cp:lastModifiedBy>
  <cp:revision>2</cp:revision>
  <cp:lastPrinted>2021-10-14T10:19:00Z</cp:lastPrinted>
  <dcterms:created xsi:type="dcterms:W3CDTF">2023-12-15T09:58:00Z</dcterms:created>
  <dcterms:modified xsi:type="dcterms:W3CDTF">2023-12-15T09:58:00Z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2022-09-22T14:15:33Z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fa40c97b-b38a-4f57-9d58-ca95a6d74f0c</vt:lpwstr>
  </property>
  <property fmtid="{D5CDD505-2E9C-101B-9397-08002B2CF9AE}" pid="8" name="MSIP_Label_6bd9ddd1-4d20-43f6-abfa-fc3c07406f94_ContentBits">
    <vt:lpwstr>0</vt:lpwstr>
  </property>
</Properties>
</file>