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388F9" w14:textId="77777777" w:rsidR="00A83ECB" w:rsidRPr="00044453" w:rsidRDefault="00A83ECB" w:rsidP="00A83ECB">
      <w:pPr>
        <w:spacing w:after="240"/>
        <w:jc w:val="right"/>
        <w:rPr>
          <w:rFonts w:cs="Calibri"/>
          <w:sz w:val="22"/>
          <w:szCs w:val="22"/>
        </w:rPr>
      </w:pPr>
      <w:r w:rsidRPr="00044453">
        <w:rPr>
          <w:rFonts w:cs="Calibri"/>
          <w:sz w:val="22"/>
          <w:szCs w:val="22"/>
        </w:rPr>
        <w:t>Brussels,</w:t>
      </w:r>
      <w:r w:rsidRPr="00044453">
        <w:rPr>
          <w:rFonts w:cs="Calibri"/>
          <w:color w:val="FF0000"/>
          <w:sz w:val="22"/>
          <w:szCs w:val="22"/>
        </w:rPr>
        <w:t xml:space="preserve"> </w:t>
      </w:r>
      <w:r w:rsidRPr="00044453">
        <w:rPr>
          <w:rFonts w:cs="Calibri"/>
          <w:sz w:val="22"/>
          <w:szCs w:val="22"/>
          <w:highlight w:val="yellow"/>
        </w:rPr>
        <w:t>XX</w:t>
      </w:r>
      <w:r w:rsidRPr="00044453">
        <w:rPr>
          <w:rFonts w:cs="Calibri"/>
          <w:sz w:val="22"/>
          <w:szCs w:val="22"/>
        </w:rPr>
        <w:t xml:space="preserve"> September 2024</w:t>
      </w:r>
    </w:p>
    <w:p w14:paraId="43FAB969" w14:textId="77777777" w:rsidR="00A83ECB" w:rsidRPr="0049613F" w:rsidRDefault="00A83ECB" w:rsidP="00A83ECB">
      <w:pPr>
        <w:spacing w:after="240"/>
        <w:rPr>
          <w:rFonts w:cs="Calibri"/>
          <w:sz w:val="22"/>
          <w:szCs w:val="22"/>
        </w:rPr>
      </w:pPr>
    </w:p>
    <w:p w14:paraId="04A7BBDA" w14:textId="77777777" w:rsidR="00A83ECB" w:rsidRDefault="00A83ECB" w:rsidP="00A83ECB">
      <w:pPr>
        <w:spacing w:after="240"/>
        <w:rPr>
          <w:rFonts w:cs="Calibri"/>
          <w:sz w:val="22"/>
          <w:szCs w:val="22"/>
        </w:rPr>
      </w:pPr>
      <w:r w:rsidRPr="00044453">
        <w:rPr>
          <w:rFonts w:cs="Calibri"/>
          <w:b/>
          <w:bCs/>
          <w:sz w:val="22"/>
          <w:szCs w:val="22"/>
        </w:rPr>
        <w:t>To:</w:t>
      </w:r>
      <w:r w:rsidRPr="00044453">
        <w:rPr>
          <w:rFonts w:cs="Calibri"/>
          <w:sz w:val="22"/>
          <w:szCs w:val="22"/>
        </w:rPr>
        <w:t xml:space="preserve"> </w:t>
      </w:r>
      <w:r>
        <w:rPr>
          <w:rFonts w:cs="Calibri"/>
          <w:sz w:val="22"/>
          <w:szCs w:val="22"/>
        </w:rPr>
        <w:t xml:space="preserve">Mr Eric </w:t>
      </w:r>
      <w:proofErr w:type="spellStart"/>
      <w:r>
        <w:rPr>
          <w:rFonts w:cs="Calibri"/>
          <w:sz w:val="22"/>
          <w:szCs w:val="22"/>
        </w:rPr>
        <w:t>Thévenard</w:t>
      </w:r>
      <w:proofErr w:type="spellEnd"/>
    </w:p>
    <w:p w14:paraId="31DE5158" w14:textId="77777777" w:rsidR="00A83ECB" w:rsidRDefault="00A83ECB" w:rsidP="00A83ECB">
      <w:pPr>
        <w:spacing w:after="240"/>
        <w:rPr>
          <w:rFonts w:cs="Calibri"/>
          <w:sz w:val="22"/>
          <w:szCs w:val="22"/>
        </w:rPr>
      </w:pPr>
      <w:r>
        <w:rPr>
          <w:rFonts w:cs="Calibri"/>
          <w:sz w:val="22"/>
          <w:szCs w:val="22"/>
        </w:rPr>
        <w:t xml:space="preserve">DG </w:t>
      </w:r>
      <w:r w:rsidRPr="00A763CE">
        <w:rPr>
          <w:rFonts w:cs="Calibri"/>
          <w:sz w:val="22"/>
          <w:szCs w:val="22"/>
        </w:rPr>
        <w:t>Health and Food Safety</w:t>
      </w:r>
      <w:r>
        <w:rPr>
          <w:rFonts w:cs="Calibri"/>
          <w:sz w:val="22"/>
          <w:szCs w:val="22"/>
        </w:rPr>
        <w:t>, Unit E4 – Pesticides and Biocides</w:t>
      </w:r>
    </w:p>
    <w:p w14:paraId="38E36AD2" w14:textId="77777777" w:rsidR="00A83ECB" w:rsidRDefault="00A83ECB" w:rsidP="00A83ECB">
      <w:pPr>
        <w:spacing w:after="240"/>
        <w:rPr>
          <w:rFonts w:cs="Calibri"/>
          <w:sz w:val="22"/>
          <w:szCs w:val="22"/>
        </w:rPr>
      </w:pPr>
      <w:r>
        <w:rPr>
          <w:rFonts w:cs="Calibri"/>
          <w:sz w:val="22"/>
          <w:szCs w:val="22"/>
        </w:rPr>
        <w:t xml:space="preserve">E-mail: </w:t>
      </w:r>
      <w:hyperlink r:id="rId4" w:history="1">
        <w:r w:rsidRPr="00365EB0">
          <w:rPr>
            <w:rStyle w:val="Hyperlink"/>
            <w:rFonts w:cs="Calibri"/>
            <w:b/>
            <w:bCs/>
            <w:sz w:val="22"/>
            <w:szCs w:val="22"/>
          </w:rPr>
          <w:t>Eric.Thevenard@ec.europa.eu</w:t>
        </w:r>
      </w:hyperlink>
    </w:p>
    <w:p w14:paraId="0785C991" w14:textId="77777777" w:rsidR="00A83ECB" w:rsidRPr="00A763CE" w:rsidRDefault="00A83ECB" w:rsidP="00A83ECB">
      <w:pPr>
        <w:spacing w:after="240"/>
        <w:rPr>
          <w:rFonts w:cs="Calibri"/>
          <w:sz w:val="22"/>
          <w:szCs w:val="22"/>
        </w:rPr>
      </w:pPr>
      <w:r w:rsidRPr="00A763CE">
        <w:rPr>
          <w:rFonts w:cs="Calibri"/>
          <w:b/>
          <w:bCs/>
          <w:sz w:val="22"/>
          <w:szCs w:val="22"/>
        </w:rPr>
        <w:t>CC:</w:t>
      </w:r>
      <w:r w:rsidRPr="00A763CE">
        <w:rPr>
          <w:rFonts w:cs="Calibri"/>
          <w:sz w:val="22"/>
          <w:szCs w:val="22"/>
        </w:rPr>
        <w:t xml:space="preserve"> DG Health and Food Safety, Unit A4</w:t>
      </w:r>
      <w:r>
        <w:rPr>
          <w:rFonts w:cs="Calibri"/>
          <w:sz w:val="22"/>
          <w:szCs w:val="22"/>
        </w:rPr>
        <w:t xml:space="preserve"> – </w:t>
      </w:r>
      <w:r w:rsidRPr="00A763CE">
        <w:rPr>
          <w:rFonts w:cs="Calibri"/>
          <w:sz w:val="22"/>
          <w:szCs w:val="22"/>
        </w:rPr>
        <w:t>Multilateral International Relations</w:t>
      </w:r>
    </w:p>
    <w:p w14:paraId="329279E5" w14:textId="77777777" w:rsidR="00A83ECB" w:rsidRPr="00A763CE" w:rsidRDefault="00A83ECB" w:rsidP="00A83ECB">
      <w:pPr>
        <w:spacing w:after="240"/>
        <w:rPr>
          <w:rFonts w:cs="Calibri"/>
          <w:sz w:val="22"/>
          <w:szCs w:val="22"/>
          <w:lang w:val="pt-PT"/>
        </w:rPr>
      </w:pPr>
      <w:r w:rsidRPr="00A763CE">
        <w:rPr>
          <w:rFonts w:cs="Calibri"/>
          <w:sz w:val="22"/>
          <w:szCs w:val="22"/>
          <w:lang w:val="pt-PT"/>
        </w:rPr>
        <w:t xml:space="preserve">E-mail: </w:t>
      </w:r>
      <w:r w:rsidRPr="00A763CE">
        <w:fldChar w:fldCharType="begin"/>
      </w:r>
      <w:r w:rsidRPr="00A763CE">
        <w:instrText>HYPERLINK "C:\\Users\\Joao PEREIRA\\SACAR Dropbox\\Joao PEREIRA\\02 FRUCOM\\04 ISSUES\\FRUCOM LETTERS\\sps@ec.europa.eu"</w:instrText>
      </w:r>
      <w:r w:rsidRPr="00A763CE">
        <w:fldChar w:fldCharType="separate"/>
      </w:r>
      <w:r w:rsidRPr="00A763CE">
        <w:rPr>
          <w:rStyle w:val="Hyperlink"/>
          <w:rFonts w:cs="Calibri"/>
          <w:sz w:val="22"/>
          <w:szCs w:val="22"/>
          <w:lang w:val="pt-PT"/>
        </w:rPr>
        <w:t>sps@ec.europa.eu</w:t>
      </w:r>
      <w:r w:rsidRPr="00A763CE">
        <w:rPr>
          <w:rStyle w:val="Hyperlink"/>
          <w:rFonts w:cs="Calibri"/>
          <w:sz w:val="22"/>
          <w:szCs w:val="22"/>
          <w:lang w:val="pt-PT"/>
        </w:rPr>
        <w:fldChar w:fldCharType="end"/>
      </w:r>
    </w:p>
    <w:p w14:paraId="385B2534" w14:textId="77777777" w:rsidR="00A83ECB" w:rsidRPr="00A763CE" w:rsidRDefault="00A83ECB" w:rsidP="00A83ECB">
      <w:pPr>
        <w:spacing w:after="240"/>
        <w:rPr>
          <w:rFonts w:cs="Calibri"/>
          <w:sz w:val="22"/>
          <w:szCs w:val="22"/>
        </w:rPr>
      </w:pPr>
    </w:p>
    <w:p w14:paraId="1BAEFBA8" w14:textId="77777777" w:rsidR="00A83ECB" w:rsidRPr="00A763CE" w:rsidRDefault="00A83ECB" w:rsidP="00A83ECB">
      <w:pPr>
        <w:spacing w:after="240"/>
        <w:rPr>
          <w:rFonts w:cs="Calibri"/>
          <w:sz w:val="22"/>
          <w:szCs w:val="22"/>
        </w:rPr>
      </w:pPr>
      <w:r w:rsidRPr="00A763CE">
        <w:rPr>
          <w:rFonts w:cs="Calibri"/>
          <w:b/>
          <w:bCs/>
          <w:sz w:val="22"/>
          <w:szCs w:val="22"/>
        </w:rPr>
        <w:t>Subject:</w:t>
      </w:r>
      <w:r w:rsidRPr="00A763CE">
        <w:rPr>
          <w:rFonts w:cs="Calibri"/>
          <w:sz w:val="22"/>
          <w:szCs w:val="22"/>
        </w:rPr>
        <w:t xml:space="preserve"> New MRLs for Dithiocarbamates – Potential implications on trade</w:t>
      </w:r>
    </w:p>
    <w:p w14:paraId="22F9259D" w14:textId="77777777" w:rsidR="00A83ECB" w:rsidRPr="00A763CE" w:rsidRDefault="00A83ECB" w:rsidP="00A83ECB">
      <w:pPr>
        <w:spacing w:after="240"/>
        <w:rPr>
          <w:rFonts w:eastAsiaTheme="minorHAnsi" w:cs="Calibri"/>
          <w:sz w:val="22"/>
          <w:szCs w:val="22"/>
        </w:rPr>
      </w:pPr>
    </w:p>
    <w:p w14:paraId="4B24B9BF" w14:textId="77777777" w:rsidR="00A83ECB" w:rsidRPr="00044453" w:rsidRDefault="00A83ECB" w:rsidP="00A83ECB">
      <w:pPr>
        <w:spacing w:after="240"/>
        <w:rPr>
          <w:rFonts w:eastAsiaTheme="minorHAnsi" w:cs="Calibri"/>
          <w:sz w:val="22"/>
          <w:szCs w:val="22"/>
        </w:rPr>
      </w:pPr>
      <w:r w:rsidRPr="00A763CE">
        <w:rPr>
          <w:rFonts w:eastAsiaTheme="minorHAnsi" w:cs="Calibri"/>
          <w:sz w:val="22"/>
          <w:szCs w:val="22"/>
        </w:rPr>
        <w:t xml:space="preserve">Dear Mr </w:t>
      </w:r>
      <w:proofErr w:type="spellStart"/>
      <w:r w:rsidRPr="00A763CE">
        <w:rPr>
          <w:rFonts w:eastAsiaTheme="minorHAnsi" w:cs="Calibri"/>
          <w:sz w:val="22"/>
          <w:szCs w:val="22"/>
        </w:rPr>
        <w:t>Thévenard</w:t>
      </w:r>
      <w:proofErr w:type="spellEnd"/>
      <w:r w:rsidRPr="00A763CE">
        <w:rPr>
          <w:rFonts w:eastAsiaTheme="minorHAnsi" w:cs="Calibri"/>
          <w:sz w:val="22"/>
          <w:szCs w:val="22"/>
        </w:rPr>
        <w:t>,</w:t>
      </w:r>
    </w:p>
    <w:p w14:paraId="5AF6B9B0" w14:textId="77777777" w:rsidR="00A83ECB" w:rsidRDefault="00A83ECB" w:rsidP="00A83ECB">
      <w:pPr>
        <w:spacing w:after="240"/>
        <w:rPr>
          <w:rFonts w:eastAsiaTheme="minorHAnsi" w:cs="Calibri"/>
          <w:sz w:val="22"/>
          <w:szCs w:val="22"/>
        </w:rPr>
      </w:pPr>
      <w:r w:rsidRPr="00044453">
        <w:rPr>
          <w:rFonts w:eastAsiaTheme="minorHAnsi" w:cs="Calibri"/>
          <w:sz w:val="22"/>
          <w:szCs w:val="22"/>
        </w:rPr>
        <w:t>FRUCOM represents and defends the interests of traders in dried fruit, edible nuts, peanuts, processed seafood and processed fruit &amp; vegetables in the EU. We also work with the UK and the main origin countries (e.g. US, Turkey, Australia, Chile, among others).</w:t>
      </w:r>
      <w:r>
        <w:rPr>
          <w:rFonts w:eastAsiaTheme="minorHAnsi" w:cs="Calibri"/>
          <w:sz w:val="22"/>
          <w:szCs w:val="22"/>
        </w:rPr>
        <w:t xml:space="preserve"> </w:t>
      </w:r>
      <w:r w:rsidRPr="00044453">
        <w:rPr>
          <w:rFonts w:eastAsiaTheme="minorHAnsi" w:cs="Calibri"/>
          <w:sz w:val="22"/>
          <w:szCs w:val="22"/>
        </w:rPr>
        <w:t>We seek to facilitate the trade of safe and quality products in the EU and strive to ensure that our members are fully informed of the requirements</w:t>
      </w:r>
      <w:r>
        <w:rPr>
          <w:rFonts w:eastAsiaTheme="minorHAnsi" w:cs="Calibri"/>
          <w:sz w:val="22"/>
          <w:szCs w:val="22"/>
        </w:rPr>
        <w:t xml:space="preserve"> </w:t>
      </w:r>
      <w:r w:rsidRPr="00044453">
        <w:rPr>
          <w:rFonts w:eastAsiaTheme="minorHAnsi" w:cs="Calibri"/>
          <w:sz w:val="22"/>
          <w:szCs w:val="22"/>
        </w:rPr>
        <w:t>imposed by EU legislation</w:t>
      </w:r>
      <w:r>
        <w:rPr>
          <w:rFonts w:eastAsiaTheme="minorHAnsi" w:cs="Calibri"/>
          <w:sz w:val="22"/>
          <w:szCs w:val="22"/>
        </w:rPr>
        <w:t>.</w:t>
      </w:r>
    </w:p>
    <w:p w14:paraId="463E84F5" w14:textId="77777777" w:rsidR="00A83ECB" w:rsidRDefault="00A83ECB" w:rsidP="00A83ECB">
      <w:pPr>
        <w:spacing w:after="240"/>
        <w:rPr>
          <w:rFonts w:eastAsiaTheme="minorHAnsi" w:cs="Calibri"/>
          <w:sz w:val="22"/>
          <w:szCs w:val="22"/>
        </w:rPr>
      </w:pPr>
      <w:r>
        <w:rPr>
          <w:rFonts w:eastAsiaTheme="minorHAnsi" w:cs="Calibri"/>
          <w:sz w:val="22"/>
          <w:szCs w:val="22"/>
        </w:rPr>
        <w:t xml:space="preserve">In this instance, we would like to draw your attention to the draft Commission Regulation </w:t>
      </w:r>
      <w:r w:rsidRPr="0049613F">
        <w:rPr>
          <w:rFonts w:eastAsiaTheme="minorHAnsi" w:cs="Calibri"/>
          <w:sz w:val="22"/>
          <w:szCs w:val="22"/>
        </w:rPr>
        <w:t>amending Annexes II and III to Regulation (EC) No 396/2005 of the European Parliament and of the Council as regards maximum</w:t>
      </w:r>
      <w:r>
        <w:rPr>
          <w:rFonts w:eastAsiaTheme="minorHAnsi" w:cs="Calibri"/>
          <w:sz w:val="22"/>
          <w:szCs w:val="22"/>
        </w:rPr>
        <w:t xml:space="preserve"> </w:t>
      </w:r>
      <w:r w:rsidRPr="0049613F">
        <w:rPr>
          <w:rFonts w:eastAsiaTheme="minorHAnsi" w:cs="Calibri"/>
          <w:sz w:val="22"/>
          <w:szCs w:val="22"/>
        </w:rPr>
        <w:t>residue levels for dithiocarbamates in or on certain products</w:t>
      </w:r>
      <w:r>
        <w:rPr>
          <w:rFonts w:eastAsiaTheme="minorHAnsi" w:cs="Calibri"/>
          <w:sz w:val="22"/>
          <w:szCs w:val="22"/>
        </w:rPr>
        <w:t>, as notified to the WTO on 22 July 2024. The</w:t>
      </w:r>
      <w:r w:rsidRPr="00EA5616">
        <w:rPr>
          <w:rFonts w:eastAsiaTheme="minorHAnsi" w:cs="Calibri"/>
          <w:sz w:val="22"/>
          <w:szCs w:val="22"/>
        </w:rPr>
        <w:t xml:space="preserve"> draft regulation proposes lowering the Maximum Residue Level (MRL) for dithiocarbamates, including mancozeb, in walnuts from 0.1 mg/kg to 0.01 mg/kg. This reduction is based on monitoring data from organic products, where naturally occurring levels of residues were found to be lower. While we do not challenge the scientific competence of EFSA or the associated toxicological concerns, this position paper argues that the proposed MRL reduction will have significant adverse effects on walnut production, trade, and food security</w:t>
      </w:r>
      <w:r>
        <w:rPr>
          <w:rFonts w:eastAsiaTheme="minorHAnsi" w:cs="Calibri"/>
          <w:sz w:val="22"/>
          <w:szCs w:val="22"/>
        </w:rPr>
        <w:t>.</w:t>
      </w:r>
    </w:p>
    <w:p w14:paraId="677F73AF" w14:textId="77777777" w:rsidR="00A83ECB" w:rsidRDefault="00A83ECB" w:rsidP="00A83ECB">
      <w:pPr>
        <w:spacing w:after="240"/>
        <w:rPr>
          <w:rFonts w:eastAsiaTheme="minorHAnsi" w:cs="Calibri"/>
          <w:b/>
          <w:bCs/>
          <w:sz w:val="22"/>
          <w:szCs w:val="22"/>
        </w:rPr>
      </w:pPr>
      <w:r w:rsidRPr="00306F04">
        <w:rPr>
          <w:rFonts w:eastAsiaTheme="minorHAnsi" w:cs="Calibri"/>
          <w:b/>
          <w:bCs/>
          <w:sz w:val="22"/>
          <w:szCs w:val="22"/>
        </w:rPr>
        <w:t>Uncertainties in Data Collection and Risk Assessment</w:t>
      </w:r>
    </w:p>
    <w:p w14:paraId="1F85E1C2" w14:textId="77777777" w:rsidR="00A83ECB" w:rsidRPr="00306F04" w:rsidRDefault="00A83ECB" w:rsidP="00A83ECB">
      <w:pPr>
        <w:spacing w:after="240"/>
        <w:rPr>
          <w:rFonts w:eastAsiaTheme="minorHAnsi" w:cs="Calibri"/>
          <w:sz w:val="22"/>
          <w:szCs w:val="22"/>
        </w:rPr>
      </w:pPr>
      <w:r w:rsidRPr="00306F04">
        <w:rPr>
          <w:rFonts w:eastAsiaTheme="minorHAnsi" w:cs="Calibri"/>
          <w:sz w:val="22"/>
          <w:szCs w:val="22"/>
        </w:rPr>
        <w:t xml:space="preserve">EFSA's risk assessments, while recommending a lower MRL of 0.01 mg/kg, acknowledge significant data gaps and uncertainties. Specifically, for mancozeb and its metabolite </w:t>
      </w:r>
      <w:proofErr w:type="spellStart"/>
      <w:r w:rsidRPr="00306F04">
        <w:rPr>
          <w:rFonts w:eastAsiaTheme="minorHAnsi" w:cs="Calibri"/>
          <w:sz w:val="22"/>
          <w:szCs w:val="22"/>
        </w:rPr>
        <w:t>ethylenethiourea</w:t>
      </w:r>
      <w:proofErr w:type="spellEnd"/>
      <w:r w:rsidRPr="00306F04">
        <w:rPr>
          <w:rFonts w:eastAsiaTheme="minorHAnsi" w:cs="Calibri"/>
          <w:sz w:val="22"/>
          <w:szCs w:val="22"/>
        </w:rPr>
        <w:t xml:space="preserve"> (ETU), the risk assessment values were only reliably derived for </w:t>
      </w:r>
      <w:r>
        <w:rPr>
          <w:rFonts w:eastAsiaTheme="minorHAnsi" w:cs="Calibri"/>
          <w:sz w:val="22"/>
          <w:szCs w:val="22"/>
        </w:rPr>
        <w:t>other types</w:t>
      </w:r>
      <w:r w:rsidRPr="00306F04">
        <w:rPr>
          <w:rFonts w:eastAsiaTheme="minorHAnsi" w:cs="Calibri"/>
          <w:sz w:val="22"/>
          <w:szCs w:val="22"/>
        </w:rPr>
        <w:t xml:space="preserve"> of crops, such as apples, tomatoes, and wine grapes. Walnuts were not among the crops for which sufficient data was available to establish a definitive MRL.</w:t>
      </w:r>
    </w:p>
    <w:p w14:paraId="6E329981" w14:textId="77777777" w:rsidR="00A83ECB" w:rsidRPr="00306F04" w:rsidRDefault="00A83ECB" w:rsidP="00A83ECB">
      <w:pPr>
        <w:spacing w:after="240"/>
        <w:rPr>
          <w:rFonts w:eastAsiaTheme="minorHAnsi" w:cs="Calibri"/>
          <w:sz w:val="22"/>
          <w:szCs w:val="22"/>
        </w:rPr>
      </w:pPr>
      <w:r w:rsidRPr="00306F04">
        <w:rPr>
          <w:rFonts w:eastAsiaTheme="minorHAnsi" w:cs="Calibri"/>
          <w:sz w:val="22"/>
          <w:szCs w:val="22"/>
        </w:rPr>
        <w:t>Given the uncertainties around the analytical methods for enforcement and the absence of robust residue trials, the MRLs for walnuts remain tentative. Lowering the MRL to 0.01 mg/kg without addressing these</w:t>
      </w:r>
      <w:r>
        <w:rPr>
          <w:rFonts w:eastAsiaTheme="minorHAnsi" w:cs="Calibri"/>
          <w:sz w:val="22"/>
          <w:szCs w:val="22"/>
        </w:rPr>
        <w:t xml:space="preserve"> </w:t>
      </w:r>
      <w:r w:rsidRPr="00306F04">
        <w:rPr>
          <w:rFonts w:eastAsiaTheme="minorHAnsi" w:cs="Calibri"/>
          <w:sz w:val="22"/>
          <w:szCs w:val="22"/>
        </w:rPr>
        <w:t xml:space="preserve">significant data gaps and uncertainties would be premature and could lead to unjustified regulatory changes, </w:t>
      </w:r>
      <w:r w:rsidRPr="00306F04">
        <w:rPr>
          <w:rFonts w:eastAsiaTheme="minorHAnsi" w:cs="Calibri"/>
          <w:sz w:val="22"/>
          <w:szCs w:val="22"/>
        </w:rPr>
        <w:lastRenderedPageBreak/>
        <w:t>creating challenges for walnut producers</w:t>
      </w:r>
      <w:r>
        <w:rPr>
          <w:rFonts w:eastAsiaTheme="minorHAnsi" w:cs="Calibri"/>
          <w:sz w:val="22"/>
          <w:szCs w:val="22"/>
        </w:rPr>
        <w:t xml:space="preserve">. The Commission’s plan </w:t>
      </w:r>
      <w:r w:rsidRPr="00306F04">
        <w:rPr>
          <w:rFonts w:eastAsiaTheme="minorHAnsi" w:cs="Calibri"/>
          <w:sz w:val="22"/>
          <w:szCs w:val="22"/>
        </w:rPr>
        <w:t>to lower the MRL is based on naturally occurring levels of CS2 in organic walnuts, which differ significantly from conventional agricultural practices.</w:t>
      </w:r>
    </w:p>
    <w:p w14:paraId="2637D563" w14:textId="77777777" w:rsidR="00A83ECB" w:rsidRPr="00EA5616" w:rsidRDefault="00A83ECB" w:rsidP="00A83ECB">
      <w:pPr>
        <w:spacing w:after="240"/>
        <w:rPr>
          <w:rFonts w:eastAsiaTheme="minorHAnsi" w:cs="Calibri"/>
          <w:b/>
          <w:bCs/>
          <w:sz w:val="22"/>
          <w:szCs w:val="22"/>
        </w:rPr>
      </w:pPr>
      <w:r w:rsidRPr="00EA5616">
        <w:rPr>
          <w:rFonts w:eastAsiaTheme="minorHAnsi" w:cs="Calibri"/>
          <w:b/>
          <w:bCs/>
          <w:sz w:val="22"/>
          <w:szCs w:val="22"/>
        </w:rPr>
        <w:t>Agricultural Impact and Sustainability</w:t>
      </w:r>
    </w:p>
    <w:p w14:paraId="4702039E" w14:textId="77777777" w:rsidR="00A83ECB" w:rsidRDefault="00A83ECB" w:rsidP="00A83ECB">
      <w:pPr>
        <w:spacing w:after="240"/>
        <w:rPr>
          <w:rFonts w:eastAsiaTheme="minorHAnsi" w:cs="Calibri"/>
          <w:sz w:val="22"/>
          <w:szCs w:val="22"/>
        </w:rPr>
      </w:pPr>
      <w:r w:rsidRPr="00EA5616">
        <w:rPr>
          <w:rFonts w:eastAsiaTheme="minorHAnsi" w:cs="Calibri"/>
          <w:sz w:val="22"/>
          <w:szCs w:val="22"/>
        </w:rPr>
        <w:t xml:space="preserve">Mancozeb plays an essential role in the cultivation of walnuts, particularly in managing walnut blight, </w:t>
      </w:r>
      <w:r w:rsidRPr="00411294">
        <w:rPr>
          <w:rFonts w:eastAsiaTheme="minorHAnsi" w:cs="Calibri"/>
          <w:sz w:val="22"/>
          <w:szCs w:val="22"/>
        </w:rPr>
        <w:t>a significant and recurring threat to walnut crops.</w:t>
      </w:r>
      <w:r>
        <w:rPr>
          <w:rFonts w:eastAsiaTheme="minorHAnsi" w:cs="Calibri"/>
          <w:sz w:val="22"/>
          <w:szCs w:val="22"/>
        </w:rPr>
        <w:t xml:space="preserve"> </w:t>
      </w:r>
      <w:r w:rsidRPr="00EA5616">
        <w:rPr>
          <w:rFonts w:eastAsiaTheme="minorHAnsi" w:cs="Calibri"/>
          <w:sz w:val="22"/>
          <w:szCs w:val="22"/>
        </w:rPr>
        <w:t>Mancozeb is the most effective and reliable tool for controlling this disease, and there are currently no viable alternatives with the same level of efficacy. The proposed MRL reduction would severely limit the ability of farmers to use this key agricultural tool effectively. This could lead to lower yields and reduced product quality, undermining the economic viability of walnut production.</w:t>
      </w:r>
    </w:p>
    <w:p w14:paraId="33519745" w14:textId="77777777" w:rsidR="00A83ECB" w:rsidRDefault="00A83ECB" w:rsidP="00A83ECB">
      <w:pPr>
        <w:spacing w:after="240"/>
        <w:rPr>
          <w:rFonts w:eastAsiaTheme="minorHAnsi" w:cs="Calibri"/>
          <w:b/>
          <w:bCs/>
          <w:sz w:val="22"/>
          <w:szCs w:val="22"/>
        </w:rPr>
      </w:pPr>
      <w:r w:rsidRPr="007F1F9F">
        <w:rPr>
          <w:rFonts w:eastAsiaTheme="minorHAnsi" w:cs="Calibri"/>
          <w:b/>
          <w:bCs/>
          <w:sz w:val="22"/>
          <w:szCs w:val="22"/>
        </w:rPr>
        <w:t>Potential Consequences for Trade and Market Access</w:t>
      </w:r>
    </w:p>
    <w:p w14:paraId="5C2507DC" w14:textId="77777777" w:rsidR="00A83ECB" w:rsidRDefault="00A83ECB" w:rsidP="00A83ECB">
      <w:pPr>
        <w:spacing w:after="240"/>
        <w:rPr>
          <w:rFonts w:eastAsiaTheme="minorHAnsi" w:cs="Calibri"/>
          <w:sz w:val="22"/>
          <w:szCs w:val="22"/>
        </w:rPr>
      </w:pPr>
      <w:r w:rsidRPr="007F1F9F">
        <w:rPr>
          <w:rFonts w:eastAsiaTheme="minorHAnsi" w:cs="Calibri"/>
          <w:sz w:val="22"/>
          <w:szCs w:val="22"/>
        </w:rPr>
        <w:t>Walnuts are a globally traded commodity, and any changes to MRLs can have far-reaching implications for international trade. For instance, California walnuts</w:t>
      </w:r>
      <w:r>
        <w:rPr>
          <w:rFonts w:eastAsiaTheme="minorHAnsi" w:cs="Calibri"/>
          <w:sz w:val="22"/>
          <w:szCs w:val="22"/>
        </w:rPr>
        <w:t xml:space="preserve"> </w:t>
      </w:r>
      <w:r w:rsidRPr="007F1F9F">
        <w:rPr>
          <w:rFonts w:eastAsiaTheme="minorHAnsi" w:cs="Calibri"/>
          <w:sz w:val="22"/>
          <w:szCs w:val="22"/>
        </w:rPr>
        <w:t>represent approximately 54% of the imported walnuts into the EU</w:t>
      </w:r>
      <w:r>
        <w:rPr>
          <w:rFonts w:eastAsiaTheme="minorHAnsi" w:cs="Calibri"/>
          <w:sz w:val="22"/>
          <w:szCs w:val="22"/>
        </w:rPr>
        <w:t xml:space="preserve">. </w:t>
      </w:r>
      <w:r w:rsidRPr="00EA5616">
        <w:rPr>
          <w:rFonts w:eastAsiaTheme="minorHAnsi" w:cs="Calibri"/>
          <w:sz w:val="22"/>
          <w:szCs w:val="22"/>
        </w:rPr>
        <w:t>A reduced MRL of 0.01 mg/kg could act as a trade barrier, limiting the availability of walnuts in the EU and potentially reducing consumer choice.</w:t>
      </w:r>
    </w:p>
    <w:p w14:paraId="13AB5BF1" w14:textId="77777777" w:rsidR="00A83ECB" w:rsidRDefault="00A83ECB" w:rsidP="00A83ECB">
      <w:pPr>
        <w:spacing w:after="240"/>
        <w:rPr>
          <w:rFonts w:eastAsiaTheme="minorHAnsi" w:cs="Calibri"/>
          <w:sz w:val="22"/>
          <w:szCs w:val="22"/>
        </w:rPr>
      </w:pPr>
      <w:r>
        <w:rPr>
          <w:rFonts w:eastAsiaTheme="minorHAnsi" w:cs="Calibri"/>
          <w:sz w:val="22"/>
          <w:szCs w:val="22"/>
        </w:rPr>
        <w:t>The draft Regulation indicates a transition period of 6 months after the date of entry into force, which is yet to be defined. Walnuts are long shelf-life products</w:t>
      </w:r>
      <w:r w:rsidRPr="00EA5616">
        <w:rPr>
          <w:rFonts w:eastAsiaTheme="minorHAnsi" w:cs="Calibri"/>
          <w:sz w:val="22"/>
          <w:szCs w:val="22"/>
        </w:rPr>
        <w:t xml:space="preserve">, with storage periods typically extending up to a year. The US walnut harvest season takes place between August and November, meaning walnuts harvested in 2024 would already be subject to the new regulation. </w:t>
      </w:r>
      <w:r>
        <w:rPr>
          <w:rFonts w:eastAsiaTheme="minorHAnsi" w:cs="Calibri"/>
          <w:sz w:val="22"/>
          <w:szCs w:val="22"/>
        </w:rPr>
        <w:t xml:space="preserve">This would make it challenging for producers to adapt their stock management and export operations within such a short timeframe, thereby impacting the supply to match the EU’s demand for walnuts. </w:t>
      </w:r>
      <w:r w:rsidRPr="00EA5616">
        <w:rPr>
          <w:rFonts w:eastAsiaTheme="minorHAnsi" w:cs="Calibri"/>
          <w:sz w:val="22"/>
          <w:szCs w:val="22"/>
        </w:rPr>
        <w:t>As a result</w:t>
      </w:r>
      <w:r>
        <w:rPr>
          <w:rFonts w:eastAsiaTheme="minorHAnsi" w:cs="Calibri"/>
          <w:sz w:val="22"/>
          <w:szCs w:val="22"/>
        </w:rPr>
        <w:t xml:space="preserve"> of the new MRL</w:t>
      </w:r>
      <w:r w:rsidRPr="00EA5616">
        <w:rPr>
          <w:rFonts w:eastAsiaTheme="minorHAnsi" w:cs="Calibri"/>
          <w:sz w:val="22"/>
          <w:szCs w:val="22"/>
        </w:rPr>
        <w:t>, large quantities of walnuts may be discarded due to non-compliance with the new MRL, leading to significant food waste and economic losses.</w:t>
      </w:r>
      <w:r>
        <w:rPr>
          <w:rFonts w:eastAsiaTheme="minorHAnsi" w:cs="Calibri"/>
          <w:sz w:val="22"/>
          <w:szCs w:val="22"/>
        </w:rPr>
        <w:t xml:space="preserve"> Additionally, it creates an unfair market situation since some other similar foodstuffs are planned to keep their current MRLs.</w:t>
      </w:r>
    </w:p>
    <w:p w14:paraId="2FF2D7F0" w14:textId="77777777" w:rsidR="00A83ECB" w:rsidRPr="00A763CE" w:rsidRDefault="00A83ECB" w:rsidP="00A83ECB">
      <w:pPr>
        <w:spacing w:after="240"/>
        <w:rPr>
          <w:rFonts w:eastAsiaTheme="minorHAnsi" w:cs="Calibri"/>
          <w:b/>
          <w:bCs/>
          <w:sz w:val="22"/>
          <w:szCs w:val="22"/>
          <w:u w:val="single"/>
        </w:rPr>
      </w:pPr>
      <w:r w:rsidRPr="00A763CE">
        <w:rPr>
          <w:rFonts w:eastAsiaTheme="minorHAnsi" w:cs="Calibri"/>
          <w:b/>
          <w:bCs/>
          <w:sz w:val="22"/>
          <w:szCs w:val="22"/>
          <w:u w:val="single"/>
        </w:rPr>
        <w:t>Conclusion</w:t>
      </w:r>
    </w:p>
    <w:p w14:paraId="1252CC2F" w14:textId="77777777" w:rsidR="00A83ECB" w:rsidRDefault="00A83ECB" w:rsidP="00A83ECB">
      <w:pPr>
        <w:spacing w:after="240"/>
        <w:rPr>
          <w:rFonts w:eastAsiaTheme="minorHAnsi" w:cs="Calibri"/>
          <w:sz w:val="22"/>
          <w:szCs w:val="22"/>
        </w:rPr>
      </w:pPr>
      <w:r w:rsidRPr="00044453">
        <w:rPr>
          <w:rFonts w:eastAsiaTheme="minorHAnsi" w:cs="Calibri"/>
          <w:sz w:val="22"/>
          <w:szCs w:val="22"/>
        </w:rPr>
        <w:t xml:space="preserve">FRUCOM </w:t>
      </w:r>
      <w:r>
        <w:rPr>
          <w:rFonts w:eastAsiaTheme="minorHAnsi" w:cs="Calibri"/>
          <w:sz w:val="22"/>
          <w:szCs w:val="22"/>
        </w:rPr>
        <w:t xml:space="preserve">thus </w:t>
      </w:r>
      <w:r w:rsidRPr="00044453">
        <w:rPr>
          <w:rFonts w:eastAsiaTheme="minorHAnsi" w:cs="Calibri"/>
          <w:sz w:val="22"/>
          <w:szCs w:val="22"/>
        </w:rPr>
        <w:t xml:space="preserve">urges the Commission to allow </w:t>
      </w:r>
      <w:r>
        <w:rPr>
          <w:rFonts w:eastAsiaTheme="minorHAnsi" w:cs="Calibri"/>
          <w:sz w:val="22"/>
          <w:szCs w:val="22"/>
        </w:rPr>
        <w:t xml:space="preserve">for measures that tackle the issues raised above, </w:t>
      </w:r>
      <w:r w:rsidRPr="000E21DC">
        <w:rPr>
          <w:rFonts w:eastAsiaTheme="minorHAnsi" w:cs="Calibri"/>
          <w:sz w:val="22"/>
          <w:szCs w:val="22"/>
          <w:u w:val="single"/>
        </w:rPr>
        <w:t xml:space="preserve">in the form of </w:t>
      </w:r>
      <w:r w:rsidRPr="00A763CE">
        <w:rPr>
          <w:rFonts w:eastAsiaTheme="minorHAnsi" w:cs="Calibri"/>
          <w:sz w:val="22"/>
          <w:szCs w:val="22"/>
          <w:u w:val="single"/>
        </w:rPr>
        <w:t xml:space="preserve">maintaining the existing MRL of 0.1 mg/kg until further research and data collection can be conducted or </w:t>
      </w:r>
      <w:r>
        <w:rPr>
          <w:rFonts w:eastAsiaTheme="minorHAnsi" w:cs="Calibri"/>
          <w:sz w:val="22"/>
          <w:szCs w:val="22"/>
          <w:u w:val="single"/>
        </w:rPr>
        <w:t xml:space="preserve">the possibility for the </w:t>
      </w:r>
      <w:r w:rsidRPr="00A763CE">
        <w:rPr>
          <w:rFonts w:eastAsiaTheme="minorHAnsi" w:cs="Calibri"/>
          <w:sz w:val="22"/>
          <w:szCs w:val="22"/>
          <w:u w:val="single"/>
        </w:rPr>
        <w:t>import tolerance is investigated</w:t>
      </w:r>
      <w:r w:rsidRPr="00046BD0">
        <w:rPr>
          <w:rFonts w:eastAsiaTheme="minorHAnsi" w:cs="Calibri"/>
          <w:sz w:val="22"/>
          <w:szCs w:val="22"/>
        </w:rPr>
        <w:t xml:space="preserve"> </w:t>
      </w:r>
      <w:r w:rsidRPr="00044453">
        <w:rPr>
          <w:rFonts w:eastAsiaTheme="minorHAnsi" w:cs="Calibri"/>
          <w:sz w:val="22"/>
          <w:szCs w:val="22"/>
        </w:rPr>
        <w:t xml:space="preserve">to ensure </w:t>
      </w:r>
      <w:r>
        <w:rPr>
          <w:rFonts w:eastAsiaTheme="minorHAnsi" w:cs="Calibri"/>
          <w:sz w:val="22"/>
          <w:szCs w:val="22"/>
        </w:rPr>
        <w:t xml:space="preserve">both </w:t>
      </w:r>
      <w:r w:rsidRPr="00044453">
        <w:rPr>
          <w:rFonts w:eastAsiaTheme="minorHAnsi" w:cs="Calibri"/>
          <w:sz w:val="22"/>
          <w:szCs w:val="22"/>
        </w:rPr>
        <w:t xml:space="preserve">the </w:t>
      </w:r>
      <w:r>
        <w:rPr>
          <w:rFonts w:eastAsiaTheme="minorHAnsi" w:cs="Calibri"/>
          <w:sz w:val="22"/>
          <w:szCs w:val="22"/>
        </w:rPr>
        <w:t xml:space="preserve">EU’s supply and the </w:t>
      </w:r>
      <w:r w:rsidRPr="00044453">
        <w:rPr>
          <w:rFonts w:eastAsiaTheme="minorHAnsi" w:cs="Calibri"/>
          <w:sz w:val="22"/>
          <w:szCs w:val="22"/>
        </w:rPr>
        <w:t xml:space="preserve">smooth functioning of trade with the third countries that still use </w:t>
      </w:r>
      <w:r>
        <w:rPr>
          <w:rFonts w:eastAsiaTheme="minorHAnsi" w:cs="Calibri"/>
          <w:sz w:val="22"/>
          <w:szCs w:val="22"/>
        </w:rPr>
        <w:t>mancozeb</w:t>
      </w:r>
      <w:r w:rsidRPr="00044453">
        <w:rPr>
          <w:rFonts w:eastAsiaTheme="minorHAnsi" w:cs="Calibri"/>
          <w:sz w:val="22"/>
          <w:szCs w:val="22"/>
        </w:rPr>
        <w:t xml:space="preserve"> in their agricultural practice</w:t>
      </w:r>
      <w:r>
        <w:rPr>
          <w:rFonts w:eastAsiaTheme="minorHAnsi" w:cs="Calibri"/>
          <w:sz w:val="22"/>
          <w:szCs w:val="22"/>
        </w:rPr>
        <w:t>s</w:t>
      </w:r>
      <w:r w:rsidRPr="00044453">
        <w:rPr>
          <w:rFonts w:eastAsiaTheme="minorHAnsi" w:cs="Calibri"/>
          <w:sz w:val="22"/>
          <w:szCs w:val="22"/>
        </w:rPr>
        <w:t>.</w:t>
      </w:r>
      <w:r>
        <w:rPr>
          <w:rFonts w:eastAsiaTheme="minorHAnsi" w:cs="Calibri"/>
          <w:sz w:val="22"/>
          <w:szCs w:val="22"/>
        </w:rPr>
        <w:t xml:space="preserve"> FRUCOM’s</w:t>
      </w:r>
      <w:r w:rsidRPr="00A763CE">
        <w:rPr>
          <w:rFonts w:eastAsiaTheme="minorHAnsi" w:cs="Calibri"/>
          <w:sz w:val="22"/>
          <w:szCs w:val="22"/>
        </w:rPr>
        <w:t xml:space="preserve"> U.S. members have informed us that they have submitted a request to maintain the MRL, and FRUCOM fully supports this request. They have also informed FRUCOM that they are available to provide supporting evidence to the Commission to support the retention of the current MRL.</w:t>
      </w:r>
    </w:p>
    <w:p w14:paraId="0D6FF12F" w14:textId="77777777" w:rsidR="00A83ECB" w:rsidRDefault="00A83ECB" w:rsidP="00A83ECB">
      <w:pPr>
        <w:spacing w:after="240"/>
        <w:rPr>
          <w:rFonts w:eastAsiaTheme="minorHAnsi" w:cs="Calibri"/>
          <w:sz w:val="22"/>
          <w:szCs w:val="22"/>
        </w:rPr>
      </w:pPr>
      <w:r>
        <w:rPr>
          <w:rFonts w:cs="Calibri"/>
          <w:sz w:val="22"/>
          <w:szCs w:val="22"/>
        </w:rPr>
        <w:t xml:space="preserve">We thank you </w:t>
      </w:r>
      <w:r w:rsidRPr="00044453">
        <w:rPr>
          <w:rFonts w:cs="Calibri"/>
          <w:sz w:val="22"/>
          <w:szCs w:val="22"/>
        </w:rPr>
        <w:t>for your attention</w:t>
      </w:r>
      <w:r>
        <w:rPr>
          <w:rFonts w:cs="Calibri"/>
          <w:sz w:val="22"/>
          <w:szCs w:val="22"/>
        </w:rPr>
        <w:t xml:space="preserve"> </w:t>
      </w:r>
      <w:r>
        <w:rPr>
          <w:rFonts w:eastAsiaTheme="minorHAnsi" w:cs="Calibri"/>
          <w:sz w:val="22"/>
          <w:szCs w:val="22"/>
        </w:rPr>
        <w:t>and</w:t>
      </w:r>
      <w:r w:rsidRPr="00044453">
        <w:rPr>
          <w:rFonts w:eastAsiaTheme="minorHAnsi" w:cs="Calibri"/>
          <w:sz w:val="22"/>
          <w:szCs w:val="22"/>
        </w:rPr>
        <w:t xml:space="preserve"> remain at your disposal for any further information or clarification. </w:t>
      </w:r>
      <w:r>
        <w:rPr>
          <w:rFonts w:eastAsiaTheme="minorHAnsi" w:cs="Calibri"/>
          <w:sz w:val="22"/>
          <w:szCs w:val="22"/>
        </w:rPr>
        <w:t>We are at your disposal and would be happy to schedule a meeting to discuss this matter in more detail and provide data for a potential new assessment of the MRL.</w:t>
      </w:r>
    </w:p>
    <w:p w14:paraId="1A843DD7" w14:textId="77777777" w:rsidR="00A83ECB" w:rsidRPr="00044453" w:rsidRDefault="00A83ECB" w:rsidP="00A83ECB">
      <w:pPr>
        <w:spacing w:after="240"/>
        <w:rPr>
          <w:rFonts w:cs="Calibri"/>
          <w:sz w:val="22"/>
          <w:szCs w:val="22"/>
        </w:rPr>
      </w:pPr>
      <w:r w:rsidRPr="00044453">
        <w:rPr>
          <w:rFonts w:cs="Calibri"/>
          <w:sz w:val="22"/>
          <w:szCs w:val="22"/>
        </w:rPr>
        <w:t>Sincerely yours,</w:t>
      </w:r>
    </w:p>
    <w:p w14:paraId="5E45298F" w14:textId="77777777" w:rsidR="00A83ECB" w:rsidRPr="00044453" w:rsidRDefault="00A83ECB" w:rsidP="00A83ECB">
      <w:pPr>
        <w:spacing w:after="240"/>
        <w:rPr>
          <w:rFonts w:cs="Calibri"/>
          <w:sz w:val="22"/>
          <w:szCs w:val="22"/>
        </w:rPr>
      </w:pPr>
      <w:r w:rsidRPr="00044453">
        <w:rPr>
          <w:rFonts w:cs="Calibri"/>
          <w:noProof/>
          <w:sz w:val="22"/>
          <w:szCs w:val="22"/>
          <w:lang w:eastAsia="en-GB"/>
        </w:rPr>
        <w:drawing>
          <wp:inline distT="0" distB="0" distL="0" distR="0" wp14:anchorId="770D9EA8" wp14:editId="608C9CBF">
            <wp:extent cx="2752725" cy="1009650"/>
            <wp:effectExtent l="0" t="0" r="9525" b="0"/>
            <wp:docPr id="1" name="Picture 1" descr="A blue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on a white background&#10;&#10;Description automatically generated"/>
                    <pic:cNvPicPr/>
                  </pic:nvPicPr>
                  <pic:blipFill>
                    <a:blip r:embed="rId5"/>
                    <a:stretch>
                      <a:fillRect/>
                    </a:stretch>
                  </pic:blipFill>
                  <pic:spPr>
                    <a:xfrm>
                      <a:off x="0" y="0"/>
                      <a:ext cx="2752725" cy="1009650"/>
                    </a:xfrm>
                    <a:prstGeom prst="rect">
                      <a:avLst/>
                    </a:prstGeom>
                  </pic:spPr>
                </pic:pic>
              </a:graphicData>
            </a:graphic>
          </wp:inline>
        </w:drawing>
      </w:r>
    </w:p>
    <w:p w14:paraId="1E584598" w14:textId="77777777" w:rsidR="00A83ECB" w:rsidRPr="00044453" w:rsidRDefault="00A83ECB" w:rsidP="00A83ECB">
      <w:pPr>
        <w:spacing w:after="240"/>
        <w:rPr>
          <w:rFonts w:cs="Calibri"/>
          <w:sz w:val="22"/>
          <w:szCs w:val="22"/>
        </w:rPr>
      </w:pPr>
      <w:r w:rsidRPr="00044453">
        <w:rPr>
          <w:rFonts w:cs="Calibri"/>
          <w:sz w:val="22"/>
          <w:szCs w:val="22"/>
        </w:rPr>
        <w:t>Anna Boulova</w:t>
      </w:r>
    </w:p>
    <w:p w14:paraId="3B728840" w14:textId="77777777" w:rsidR="00A83ECB" w:rsidRPr="00044453" w:rsidRDefault="00A83ECB" w:rsidP="00A83ECB">
      <w:pPr>
        <w:spacing w:after="240"/>
        <w:rPr>
          <w:rFonts w:cs="Calibri"/>
          <w:sz w:val="22"/>
          <w:szCs w:val="22"/>
        </w:rPr>
      </w:pPr>
      <w:r w:rsidRPr="00044453">
        <w:rPr>
          <w:rFonts w:cs="Calibri"/>
          <w:sz w:val="22"/>
          <w:szCs w:val="22"/>
        </w:rPr>
        <w:lastRenderedPageBreak/>
        <w:t>FRUCOM Secretary General</w:t>
      </w:r>
    </w:p>
    <w:p w14:paraId="33E1C349" w14:textId="77777777" w:rsidR="00A83ECB" w:rsidRPr="00044453" w:rsidRDefault="00A83ECB" w:rsidP="00A83ECB">
      <w:pPr>
        <w:spacing w:after="240"/>
        <w:rPr>
          <w:rFonts w:cs="Calibri"/>
          <w:sz w:val="22"/>
          <w:szCs w:val="22"/>
        </w:rPr>
      </w:pPr>
    </w:p>
    <w:p w14:paraId="286E8A07" w14:textId="77777777" w:rsidR="001E197A" w:rsidRDefault="001E197A"/>
    <w:sectPr w:rsidR="001E197A" w:rsidSect="00A83ECB">
      <w:headerReference w:type="default" r:id="rId6"/>
      <w:footerReference w:type="default" r:id="rId7"/>
      <w:headerReference w:type="first" r:id="rId8"/>
      <w:footerReference w:type="first" r:id="rId9"/>
      <w:pgSz w:w="11900" w:h="16840"/>
      <w:pgMar w:top="1134" w:right="1134" w:bottom="1134" w:left="1134" w:header="709" w:footer="28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inionPro-Regular">
    <w:altName w:val="Cambria Math"/>
    <w:charset w:val="00"/>
    <w:family w:val="auto"/>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8684"/>
      <w:gridCol w:w="948"/>
    </w:tblGrid>
    <w:tr w:rsidR="00CC4824" w:rsidRPr="004317FB" w14:paraId="42653368" w14:textId="77777777" w:rsidTr="004317FB">
      <w:tc>
        <w:tcPr>
          <w:tcW w:w="4924" w:type="dxa"/>
          <w:shd w:val="clear" w:color="auto" w:fill="auto"/>
        </w:tcPr>
        <w:p w14:paraId="35CF994E" w14:textId="77777777" w:rsidR="00000000" w:rsidRPr="004317FB" w:rsidRDefault="00000000">
          <w:pPr>
            <w:pStyle w:val="Footer"/>
          </w:pPr>
          <w:r>
            <w:rPr>
              <w:noProof/>
              <w:lang w:eastAsia="en-GB"/>
            </w:rPr>
            <w:drawing>
              <wp:inline distT="0" distB="0" distL="0" distR="0" wp14:anchorId="5D766CE5" wp14:editId="233C6948">
                <wp:extent cx="5495290" cy="180975"/>
                <wp:effectExtent l="19050" t="0" r="0" b="0"/>
                <wp:docPr id="62" name="Picture 2" descr="Description: Macintosh HD:clients:2012:FRUCOM:updates:20121106:frise_00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Macintosh HD:clients:2012:FRUCOM:updates:20121106:frise_001.emf"/>
                        <pic:cNvPicPr>
                          <a:picLocks noChangeArrowheads="1"/>
                        </pic:cNvPicPr>
                      </pic:nvPicPr>
                      <pic:blipFill>
                        <a:blip r:embed="rId1"/>
                        <a:srcRect/>
                        <a:stretch>
                          <a:fillRect/>
                        </a:stretch>
                      </pic:blipFill>
                      <pic:spPr bwMode="auto">
                        <a:xfrm>
                          <a:off x="0" y="0"/>
                          <a:ext cx="5495290" cy="180975"/>
                        </a:xfrm>
                        <a:prstGeom prst="rect">
                          <a:avLst/>
                        </a:prstGeom>
                        <a:noFill/>
                        <a:ln w="9525">
                          <a:noFill/>
                          <a:miter lim="800000"/>
                          <a:headEnd/>
                          <a:tailEnd/>
                        </a:ln>
                      </pic:spPr>
                    </pic:pic>
                  </a:graphicData>
                </a:graphic>
              </wp:inline>
            </w:drawing>
          </w:r>
        </w:p>
      </w:tc>
      <w:tc>
        <w:tcPr>
          <w:tcW w:w="4924" w:type="dxa"/>
          <w:shd w:val="clear" w:color="auto" w:fill="auto"/>
          <w:vAlign w:val="center"/>
        </w:tcPr>
        <w:p w14:paraId="78391EF2" w14:textId="77777777" w:rsidR="00000000" w:rsidRPr="004317FB" w:rsidRDefault="00000000" w:rsidP="004317FB">
          <w:pPr>
            <w:pStyle w:val="Footer"/>
            <w:jc w:val="right"/>
            <w:rPr>
              <w:sz w:val="12"/>
              <w:szCs w:val="12"/>
            </w:rPr>
          </w:pPr>
          <w:r w:rsidRPr="004317FB">
            <w:rPr>
              <w:sz w:val="12"/>
              <w:szCs w:val="12"/>
            </w:rPr>
            <w:t xml:space="preserve">PAGE </w:t>
          </w:r>
          <w:r w:rsidRPr="004317FB">
            <w:rPr>
              <w:rStyle w:val="PageNumber"/>
              <w:sz w:val="12"/>
              <w:szCs w:val="12"/>
            </w:rPr>
            <w:fldChar w:fldCharType="begin"/>
          </w:r>
          <w:r w:rsidRPr="004317FB">
            <w:rPr>
              <w:rStyle w:val="PageNumber"/>
              <w:sz w:val="12"/>
              <w:szCs w:val="12"/>
            </w:rPr>
            <w:instrText xml:space="preserve"> PAGE </w:instrText>
          </w:r>
          <w:r w:rsidRPr="004317FB">
            <w:rPr>
              <w:rStyle w:val="PageNumber"/>
              <w:sz w:val="12"/>
              <w:szCs w:val="12"/>
            </w:rPr>
            <w:fldChar w:fldCharType="separate"/>
          </w:r>
          <w:r>
            <w:rPr>
              <w:rStyle w:val="PageNumber"/>
              <w:noProof/>
              <w:sz w:val="12"/>
              <w:szCs w:val="12"/>
            </w:rPr>
            <w:t>2</w:t>
          </w:r>
          <w:r w:rsidRPr="004317FB">
            <w:rPr>
              <w:rStyle w:val="PageNumber"/>
              <w:sz w:val="12"/>
              <w:szCs w:val="12"/>
            </w:rPr>
            <w:fldChar w:fldCharType="end"/>
          </w:r>
          <w:r w:rsidRPr="004317FB">
            <w:rPr>
              <w:rStyle w:val="PageNumber"/>
              <w:sz w:val="12"/>
              <w:szCs w:val="12"/>
            </w:rPr>
            <w:t xml:space="preserve"> / </w:t>
          </w:r>
          <w:r>
            <w:rPr>
              <w:rStyle w:val="PageNumber"/>
              <w:noProof/>
              <w:sz w:val="12"/>
              <w:szCs w:val="12"/>
            </w:rPr>
            <w:fldChar w:fldCharType="begin"/>
          </w:r>
          <w:r>
            <w:rPr>
              <w:rStyle w:val="PageNumber"/>
              <w:noProof/>
              <w:sz w:val="12"/>
              <w:szCs w:val="12"/>
            </w:rPr>
            <w:instrText xml:space="preserve"> NUMPAGES  \* MERGEFORMAT </w:instrText>
          </w:r>
          <w:r>
            <w:rPr>
              <w:rStyle w:val="PageNumber"/>
              <w:noProof/>
              <w:sz w:val="12"/>
              <w:szCs w:val="12"/>
            </w:rPr>
            <w:fldChar w:fldCharType="separate"/>
          </w:r>
          <w:r w:rsidRPr="00B72CBE">
            <w:rPr>
              <w:rStyle w:val="PageNumber"/>
              <w:noProof/>
              <w:sz w:val="12"/>
              <w:szCs w:val="12"/>
            </w:rPr>
            <w:t>2</w:t>
          </w:r>
          <w:r>
            <w:rPr>
              <w:rStyle w:val="PageNumber"/>
              <w:noProof/>
              <w:sz w:val="12"/>
              <w:szCs w:val="12"/>
            </w:rPr>
            <w:fldChar w:fldCharType="end"/>
          </w:r>
        </w:p>
      </w:tc>
    </w:tr>
  </w:tbl>
  <w:p w14:paraId="3F72029C" w14:textId="77777777" w:rsidR="00000000" w:rsidRPr="0001444F" w:rsidRDefault="00000000" w:rsidP="00142627">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F94C9" w14:textId="77777777" w:rsidR="00000000" w:rsidRDefault="00000000">
    <w:pPr>
      <w:pStyle w:val="Footer"/>
    </w:pPr>
    <w:r>
      <w:rPr>
        <w:noProof/>
        <w:lang w:eastAsia="en-GB"/>
      </w:rPr>
      <w:drawing>
        <wp:inline distT="0" distB="0" distL="0" distR="0" wp14:anchorId="79865CC1" wp14:editId="32A13E64">
          <wp:extent cx="6107430" cy="180975"/>
          <wp:effectExtent l="19050" t="0" r="7620" b="0"/>
          <wp:docPr id="66" name="Picture 66" descr="Description: Macintosh HD:clients:2012:FRUCOM:updates:20121106:frise_00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escription: Macintosh HD:clients:2012:FRUCOM:updates:20121106:frise_001.emf"/>
                  <pic:cNvPicPr>
                    <a:picLocks noChangeArrowheads="1"/>
                  </pic:cNvPicPr>
                </pic:nvPicPr>
                <pic:blipFill>
                  <a:blip r:embed="rId1"/>
                  <a:srcRect/>
                  <a:stretch>
                    <a:fillRect/>
                  </a:stretch>
                </pic:blipFill>
                <pic:spPr bwMode="auto">
                  <a:xfrm>
                    <a:off x="0" y="0"/>
                    <a:ext cx="6107430" cy="180975"/>
                  </a:xfrm>
                  <a:prstGeom prst="rect">
                    <a:avLst/>
                  </a:prstGeom>
                  <a:noFill/>
                  <a:ln w="9525">
                    <a:noFill/>
                    <a:miter lim="800000"/>
                    <a:headEnd/>
                    <a:tailEnd/>
                  </a:ln>
                </pic:spPr>
              </pic:pic>
            </a:graphicData>
          </a:graphic>
        </wp:inline>
      </w:drawing>
    </w:r>
  </w:p>
  <w:p w14:paraId="343BAEC6" w14:textId="77777777" w:rsidR="00000000" w:rsidRDefault="00000000" w:rsidP="00D74426">
    <w:pPr>
      <w:pStyle w:val="BasicParagraph"/>
      <w:spacing w:before="60" w:after="60" w:line="240" w:lineRule="auto"/>
      <w:jc w:val="center"/>
      <w:rPr>
        <w:rFonts w:ascii="Calibri" w:hAnsi="Calibri" w:cs="Helvetica"/>
        <w:color w:val="72072C"/>
        <w:spacing w:val="13"/>
        <w:sz w:val="12"/>
        <w:szCs w:val="12"/>
        <w:lang w:val="fr-BE"/>
      </w:rPr>
    </w:pPr>
    <w:r w:rsidRPr="00BC1E22">
      <w:rPr>
        <w:rFonts w:ascii="Calibri" w:hAnsi="Calibri" w:cs="Helvetica"/>
        <w:color w:val="72072C"/>
        <w:spacing w:val="10"/>
        <w:sz w:val="12"/>
        <w:szCs w:val="12"/>
        <w:lang w:val="fr-BE"/>
      </w:rPr>
      <w:t xml:space="preserve">FRUCOM AISBL </w:t>
    </w:r>
    <w:r w:rsidRPr="00BC1E22">
      <w:rPr>
        <w:rFonts w:ascii="Calibri" w:hAnsi="Calibri" w:cs="Helvetica"/>
        <w:color w:val="72072C"/>
        <w:spacing w:val="13"/>
        <w:sz w:val="12"/>
        <w:szCs w:val="12"/>
        <w:lang w:val="fr-BE"/>
      </w:rPr>
      <w:t>•</w:t>
    </w:r>
    <w:r w:rsidRPr="00BC1E22">
      <w:rPr>
        <w:rFonts w:ascii="Calibri" w:hAnsi="Calibri" w:cs="Helvetica"/>
        <w:color w:val="72072C"/>
        <w:spacing w:val="10"/>
        <w:sz w:val="12"/>
        <w:szCs w:val="12"/>
        <w:lang w:val="fr-BE"/>
      </w:rPr>
      <w:t xml:space="preserve"> RUE DE TRÈVES 49-51, BOX 14 </w:t>
    </w:r>
    <w:r w:rsidRPr="00BC1E22">
      <w:rPr>
        <w:rFonts w:ascii="Calibri" w:hAnsi="Calibri" w:cs="Helvetica"/>
        <w:color w:val="72072C"/>
        <w:spacing w:val="13"/>
        <w:sz w:val="12"/>
        <w:szCs w:val="12"/>
        <w:lang w:val="fr-BE"/>
      </w:rPr>
      <w:t>•</w:t>
    </w:r>
    <w:r w:rsidRPr="00BC1E22">
      <w:rPr>
        <w:rFonts w:ascii="Calibri" w:hAnsi="Calibri" w:cs="Helvetica"/>
        <w:color w:val="72072C"/>
        <w:spacing w:val="10"/>
        <w:sz w:val="12"/>
        <w:szCs w:val="12"/>
        <w:lang w:val="fr-BE"/>
      </w:rPr>
      <w:t xml:space="preserve"> B - 1040 BRUSSELS </w:t>
    </w:r>
    <w:r w:rsidRPr="00BC1E22">
      <w:rPr>
        <w:rFonts w:ascii="Calibri" w:hAnsi="Calibri" w:cs="Helvetica"/>
        <w:color w:val="72072C"/>
        <w:spacing w:val="13"/>
        <w:sz w:val="12"/>
        <w:szCs w:val="12"/>
        <w:lang w:val="fr-BE"/>
      </w:rPr>
      <w:t>• BELGIUM</w:t>
    </w:r>
  </w:p>
  <w:p w14:paraId="70ACADE8" w14:textId="77777777" w:rsidR="00000000" w:rsidRPr="00D74426" w:rsidRDefault="00000000" w:rsidP="00D74426">
    <w:pPr>
      <w:spacing w:before="60" w:after="60"/>
      <w:ind w:firstLine="720"/>
      <w:jc w:val="center"/>
      <w:rPr>
        <w:rFonts w:cs="Helvetica"/>
        <w:color w:val="72072C"/>
        <w:spacing w:val="10"/>
        <w:sz w:val="12"/>
        <w:szCs w:val="12"/>
        <w:lang w:val="fr-BE"/>
      </w:rPr>
    </w:pPr>
    <w:r w:rsidRPr="00D74426">
      <w:rPr>
        <w:rFonts w:cs="Helvetica"/>
        <w:color w:val="72072C"/>
        <w:spacing w:val="10"/>
        <w:sz w:val="12"/>
        <w:szCs w:val="12"/>
        <w:lang w:val="fr-BE"/>
      </w:rPr>
      <w:t>EU REGISTER OF INTEREST REPRESENTATIVES (ETI</w:t>
    </w:r>
    <w:proofErr w:type="gramStart"/>
    <w:r w:rsidRPr="00D74426">
      <w:rPr>
        <w:rFonts w:cs="Helvetica"/>
        <w:color w:val="72072C"/>
        <w:spacing w:val="10"/>
        <w:sz w:val="12"/>
        <w:szCs w:val="12"/>
        <w:lang w:val="fr-BE"/>
      </w:rPr>
      <w:t>):</w:t>
    </w:r>
    <w:proofErr w:type="gramEnd"/>
    <w:r w:rsidRPr="00D74426">
      <w:rPr>
        <w:rFonts w:cs="Helvetica"/>
        <w:color w:val="72072C"/>
        <w:spacing w:val="10"/>
        <w:sz w:val="12"/>
        <w:szCs w:val="12"/>
        <w:lang w:val="fr-BE"/>
      </w:rPr>
      <w:t xml:space="preserve"> 40306802522-39</w:t>
    </w:r>
  </w:p>
  <w:p w14:paraId="2B987E2A" w14:textId="77777777" w:rsidR="00000000" w:rsidRPr="00BC1E22" w:rsidRDefault="00000000" w:rsidP="00D74426">
    <w:pPr>
      <w:pStyle w:val="BasicParagraph"/>
      <w:spacing w:before="60" w:after="60" w:line="240" w:lineRule="auto"/>
      <w:jc w:val="center"/>
      <w:rPr>
        <w:lang w:val="fr-BE"/>
      </w:rPr>
    </w:pPr>
    <w:proofErr w:type="gramStart"/>
    <w:r w:rsidRPr="00BC1E22">
      <w:rPr>
        <w:rFonts w:ascii="Calibri" w:hAnsi="Calibri" w:cs="Helvetica"/>
        <w:color w:val="72072C"/>
        <w:spacing w:val="13"/>
        <w:sz w:val="12"/>
        <w:szCs w:val="12"/>
        <w:lang w:val="fr-BE"/>
      </w:rPr>
      <w:t>T:</w:t>
    </w:r>
    <w:proofErr w:type="gramEnd"/>
    <w:r w:rsidRPr="00BC1E22">
      <w:rPr>
        <w:rFonts w:ascii="Calibri" w:hAnsi="Calibri" w:cs="Helvetica"/>
        <w:color w:val="72072C"/>
        <w:spacing w:val="13"/>
        <w:sz w:val="12"/>
        <w:szCs w:val="12"/>
        <w:lang w:val="fr-BE"/>
      </w:rPr>
      <w:t xml:space="preserve"> +32 2 231 06 38</w:t>
    </w:r>
    <w:r w:rsidRPr="00BC1E22">
      <w:rPr>
        <w:rFonts w:ascii="Calibri" w:hAnsi="Calibri" w:cs="Helvetica"/>
        <w:color w:val="72072C"/>
        <w:spacing w:val="10"/>
        <w:sz w:val="12"/>
        <w:szCs w:val="12"/>
        <w:lang w:val="fr-BE"/>
      </w:rPr>
      <w:t xml:space="preserve"> </w:t>
    </w:r>
    <w:r w:rsidRPr="00BC1E22">
      <w:rPr>
        <w:rFonts w:ascii="Calibri" w:hAnsi="Calibri" w:cs="Helvetica"/>
        <w:color w:val="72072C"/>
        <w:spacing w:val="13"/>
        <w:sz w:val="12"/>
        <w:szCs w:val="12"/>
        <w:lang w:val="fr-BE"/>
      </w:rPr>
      <w:t>•</w:t>
    </w:r>
    <w:r w:rsidRPr="00BC1E22">
      <w:rPr>
        <w:rFonts w:ascii="Calibri" w:hAnsi="Calibri" w:cs="Helvetica"/>
        <w:color w:val="72072C"/>
        <w:spacing w:val="10"/>
        <w:sz w:val="12"/>
        <w:szCs w:val="12"/>
        <w:lang w:val="fr-BE"/>
      </w:rPr>
      <w:t xml:space="preserve"> </w:t>
    </w:r>
    <w:r w:rsidRPr="00BC1E22">
      <w:rPr>
        <w:rFonts w:ascii="Calibri" w:hAnsi="Calibri" w:cs="Helvetica"/>
        <w:color w:val="72072C"/>
        <w:spacing w:val="13"/>
        <w:sz w:val="12"/>
        <w:szCs w:val="12"/>
        <w:lang w:val="fr-BE"/>
      </w:rPr>
      <w:t>F: +32 2 732 67 66 •</w:t>
    </w:r>
    <w:r w:rsidRPr="00BC1E22">
      <w:rPr>
        <w:rFonts w:ascii="Calibri" w:hAnsi="Calibri" w:cs="Helvetica"/>
        <w:color w:val="72072C"/>
        <w:spacing w:val="10"/>
        <w:sz w:val="12"/>
        <w:szCs w:val="12"/>
        <w:lang w:val="fr-BE"/>
      </w:rPr>
      <w:t xml:space="preserve"> </w:t>
    </w:r>
    <w:r w:rsidRPr="00BC1E22">
      <w:rPr>
        <w:rFonts w:ascii="Calibri" w:hAnsi="Calibri" w:cs="Helvetica"/>
        <w:color w:val="72072C"/>
        <w:spacing w:val="13"/>
        <w:sz w:val="12"/>
        <w:szCs w:val="12"/>
        <w:lang w:val="fr-BE"/>
      </w:rPr>
      <w:t>EMAIL: INFO@FRUCOM.EU</w:t>
    </w:r>
    <w:r w:rsidRPr="00BC1E22">
      <w:rPr>
        <w:rFonts w:ascii="Calibri" w:hAnsi="Calibri" w:cs="Helvetica"/>
        <w:color w:val="72072C"/>
        <w:spacing w:val="10"/>
        <w:sz w:val="12"/>
        <w:szCs w:val="12"/>
        <w:lang w:val="fr-BE"/>
      </w:rPr>
      <w:t xml:space="preserve"> </w:t>
    </w:r>
    <w:r w:rsidRPr="00BC1E22">
      <w:rPr>
        <w:rFonts w:ascii="Calibri" w:hAnsi="Calibri" w:cs="Helvetica"/>
        <w:color w:val="72072C"/>
        <w:spacing w:val="13"/>
        <w:sz w:val="12"/>
        <w:szCs w:val="12"/>
        <w:lang w:val="fr-BE"/>
      </w:rPr>
      <w:t>•</w:t>
    </w:r>
    <w:r w:rsidRPr="00BC1E22">
      <w:rPr>
        <w:rFonts w:ascii="Calibri" w:hAnsi="Calibri" w:cs="Helvetica"/>
        <w:color w:val="72072C"/>
        <w:spacing w:val="10"/>
        <w:sz w:val="12"/>
        <w:szCs w:val="12"/>
        <w:lang w:val="fr-BE"/>
      </w:rPr>
      <w:t xml:space="preserve"> </w:t>
    </w:r>
    <w:r w:rsidRPr="00BC1E22">
      <w:rPr>
        <w:rFonts w:ascii="Calibri" w:hAnsi="Calibri" w:cs="Helvetica"/>
        <w:color w:val="72072C"/>
        <w:spacing w:val="13"/>
        <w:sz w:val="12"/>
        <w:szCs w:val="12"/>
        <w:lang w:val="fr-BE"/>
      </w:rPr>
      <w:t>WWW.FRUCOM.EU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64633" w14:textId="77777777" w:rsidR="00000000" w:rsidRDefault="00000000" w:rsidP="00991054">
    <w:pPr>
      <w:pStyle w:val="Header"/>
      <w:jc w:val="right"/>
    </w:pPr>
    <w:r>
      <w:rPr>
        <w:noProof/>
      </w:rPr>
      <w:drawing>
        <wp:anchor distT="0" distB="0" distL="114300" distR="114300" simplePos="0" relativeHeight="251662336" behindDoc="0" locked="0" layoutInCell="1" allowOverlap="1" wp14:anchorId="197AB8CF" wp14:editId="1410A429">
          <wp:simplePos x="0" y="0"/>
          <wp:positionH relativeFrom="page">
            <wp:posOffset>6149340</wp:posOffset>
          </wp:positionH>
          <wp:positionV relativeFrom="margin">
            <wp:posOffset>-501015</wp:posOffset>
          </wp:positionV>
          <wp:extent cx="826135" cy="504190"/>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35" cy="504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insideH w:val="single" w:sz="4" w:space="0" w:color="auto"/>
      </w:tblBorders>
      <w:tblCellMar>
        <w:left w:w="0" w:type="dxa"/>
        <w:right w:w="0" w:type="dxa"/>
      </w:tblCellMar>
      <w:tblLook w:val="04A0" w:firstRow="1" w:lastRow="0" w:firstColumn="1" w:lastColumn="0" w:noHBand="0" w:noVBand="1"/>
    </w:tblPr>
    <w:tblGrid>
      <w:gridCol w:w="2255"/>
      <w:gridCol w:w="7377"/>
    </w:tblGrid>
    <w:tr w:rsidR="00AF0158" w:rsidRPr="004317FB" w14:paraId="767F3A8B" w14:textId="77777777" w:rsidTr="004317FB">
      <w:tc>
        <w:tcPr>
          <w:tcW w:w="2255" w:type="dxa"/>
          <w:tcBorders>
            <w:top w:val="nil"/>
            <w:bottom w:val="nil"/>
          </w:tcBorders>
          <w:shd w:val="clear" w:color="auto" w:fill="auto"/>
          <w:vAlign w:val="center"/>
        </w:tcPr>
        <w:p w14:paraId="5105C138" w14:textId="77777777" w:rsidR="00000000" w:rsidRPr="004317FB" w:rsidRDefault="00000000" w:rsidP="00195A3D">
          <w:pPr>
            <w:pStyle w:val="Header"/>
          </w:pPr>
          <w:r>
            <w:rPr>
              <w:noProof/>
            </w:rPr>
            <w:drawing>
              <wp:anchor distT="0" distB="0" distL="114300" distR="114300" simplePos="0" relativeHeight="251660288" behindDoc="0" locked="0" layoutInCell="1" allowOverlap="1" wp14:anchorId="5F9FABB2" wp14:editId="0B8AC2E1">
                <wp:simplePos x="722489" y="530578"/>
                <wp:positionH relativeFrom="margin">
                  <wp:align>left</wp:align>
                </wp:positionH>
                <wp:positionV relativeFrom="margin">
                  <wp:align>top</wp:align>
                </wp:positionV>
                <wp:extent cx="1332089" cy="711754"/>
                <wp:effectExtent l="0" t="0" r="1905"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89" cy="711754"/>
                        </a:xfrm>
                        <a:prstGeom prst="rect">
                          <a:avLst/>
                        </a:prstGeom>
                        <a:noFill/>
                        <a:ln>
                          <a:noFill/>
                        </a:ln>
                      </pic:spPr>
                    </pic:pic>
                  </a:graphicData>
                </a:graphic>
              </wp:anchor>
            </w:drawing>
          </w:r>
        </w:p>
      </w:tc>
      <w:tc>
        <w:tcPr>
          <w:tcW w:w="7377" w:type="dxa"/>
          <w:tcBorders>
            <w:top w:val="nil"/>
            <w:bottom w:val="nil"/>
          </w:tcBorders>
          <w:shd w:val="clear" w:color="auto" w:fill="auto"/>
          <w:vAlign w:val="center"/>
        </w:tcPr>
        <w:p w14:paraId="64D26525" w14:textId="77777777" w:rsidR="00000000" w:rsidRPr="004317FB" w:rsidRDefault="00000000" w:rsidP="004317FB">
          <w:pPr>
            <w:pStyle w:val="Header"/>
            <w:jc w:val="right"/>
          </w:pPr>
          <w:r>
            <w:rPr>
              <w:noProof/>
              <w:lang w:eastAsia="en-GB"/>
            </w:rPr>
            <w:drawing>
              <wp:anchor distT="0" distB="0" distL="114300" distR="114300" simplePos="0" relativeHeight="251659264" behindDoc="0" locked="0" layoutInCell="1" allowOverlap="1" wp14:anchorId="6562E4D6" wp14:editId="1DF1E14D">
                <wp:simplePos x="2619022" y="451556"/>
                <wp:positionH relativeFrom="margin">
                  <wp:posOffset>259715</wp:posOffset>
                </wp:positionH>
                <wp:positionV relativeFrom="margin">
                  <wp:posOffset>-1270</wp:posOffset>
                </wp:positionV>
                <wp:extent cx="4218305" cy="724535"/>
                <wp:effectExtent l="0" t="0" r="0" b="0"/>
                <wp:wrapSquare wrapText="bothSides"/>
                <wp:docPr id="64" name="Picture 8" descr="Description: Macintosh HD:clients:2012:FRUCOM:updates:20121106:thumbn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cintosh HD:clients:2012:FRUCOM:updates:20121106:thumbnails.jpg"/>
                        <pic:cNvPicPr>
                          <a:picLocks noChangeAspect="1" noChangeArrowheads="1"/>
                        </pic:cNvPicPr>
                      </pic:nvPicPr>
                      <pic:blipFill>
                        <a:blip r:embed="rId2"/>
                        <a:srcRect/>
                        <a:stretch>
                          <a:fillRect/>
                        </a:stretch>
                      </pic:blipFill>
                      <pic:spPr bwMode="auto">
                        <a:xfrm>
                          <a:off x="0" y="0"/>
                          <a:ext cx="4218305" cy="7245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C4824" w:rsidRPr="004317FB" w14:paraId="37E866A3" w14:textId="77777777" w:rsidTr="004317FB">
      <w:tc>
        <w:tcPr>
          <w:tcW w:w="9632" w:type="dxa"/>
          <w:gridSpan w:val="2"/>
          <w:tcBorders>
            <w:top w:val="nil"/>
            <w:bottom w:val="nil"/>
          </w:tcBorders>
          <w:shd w:val="clear" w:color="auto" w:fill="auto"/>
          <w:vAlign w:val="center"/>
        </w:tcPr>
        <w:p w14:paraId="09F5DB3D" w14:textId="77777777" w:rsidR="00000000" w:rsidRPr="004317FB" w:rsidRDefault="00000000" w:rsidP="004317FB">
          <w:pPr>
            <w:pStyle w:val="BasicParagraph"/>
            <w:spacing w:before="120" w:after="120"/>
            <w:jc w:val="center"/>
            <w:rPr>
              <w:noProof/>
              <w:lang w:val="en-US"/>
            </w:rPr>
          </w:pPr>
          <w:r w:rsidRPr="00AF0158">
            <w:rPr>
              <w:noProof/>
              <w:lang w:val="en-US"/>
            </w:rPr>
            <w:drawing>
              <wp:anchor distT="0" distB="0" distL="114300" distR="114300" simplePos="0" relativeHeight="251661312" behindDoc="0" locked="0" layoutInCell="1" allowOverlap="1" wp14:anchorId="635D0E9A" wp14:editId="04061CAA">
                <wp:simplePos x="914400" y="1456267"/>
                <wp:positionH relativeFrom="margin">
                  <wp:posOffset>48260</wp:posOffset>
                </wp:positionH>
                <wp:positionV relativeFrom="margin">
                  <wp:posOffset>-2540</wp:posOffset>
                </wp:positionV>
                <wp:extent cx="5718175" cy="100965"/>
                <wp:effectExtent l="0" t="0" r="0" b="0"/>
                <wp:wrapSquare wrapText="bothSides"/>
                <wp:docPr id="65" name="Picture 65" descr="C:\Users\Office\Dropbox (SACAR)\02 FRUCOM\10 COMMUNICATION\FRUCOM logo\FRUCOM new logo 2018\Frucom_logo_new Karakas-Text 7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Office\Dropbox (SACAR)\02 FRUCOM\10 COMMUNICATION\FRUCOM logo\FRUCOM new logo 2018\Frucom_logo_new Karakas-Text 7p.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8175"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9B64CE2" w14:textId="77777777" w:rsidR="00000000" w:rsidRPr="00EC4562" w:rsidRDefault="00000000" w:rsidP="006A6BA8">
    <w:pPr>
      <w:pStyle w:val="Header"/>
      <w:ind w:right="-7"/>
      <w:jc w:val="center"/>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CB"/>
    <w:rsid w:val="001E197A"/>
    <w:rsid w:val="00844629"/>
    <w:rsid w:val="00A8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6B98"/>
  <w15:chartTrackingRefBased/>
  <w15:docId w15:val="{4DC6A9A4-740C-4D83-BDF6-154B1E92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CB"/>
    <w:pPr>
      <w:spacing w:after="0" w:line="240" w:lineRule="auto"/>
      <w:jc w:val="both"/>
    </w:pPr>
    <w:rPr>
      <w:rFonts w:ascii="Calibri" w:eastAsia="MS Mincho" w:hAnsi="Calibri" w:cs="Times New Roman"/>
      <w:kern w:val="0"/>
      <w:sz w:val="20"/>
      <w:szCs w:val="24"/>
      <w14:ligatures w14:val="none"/>
    </w:rPr>
  </w:style>
  <w:style w:type="paragraph" w:styleId="Heading1">
    <w:name w:val="heading 1"/>
    <w:basedOn w:val="Normal"/>
    <w:next w:val="Normal"/>
    <w:link w:val="Heading1Char"/>
    <w:uiPriority w:val="9"/>
    <w:qFormat/>
    <w:rsid w:val="00A83ECB"/>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3ECB"/>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3ECB"/>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3ECB"/>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83ECB"/>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83EC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83EC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83EC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83EC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ECB"/>
    <w:rPr>
      <w:rFonts w:eastAsiaTheme="majorEastAsia" w:cstheme="majorBidi"/>
      <w:color w:val="272727" w:themeColor="text1" w:themeTint="D8"/>
    </w:rPr>
  </w:style>
  <w:style w:type="paragraph" w:styleId="Title">
    <w:name w:val="Title"/>
    <w:basedOn w:val="Normal"/>
    <w:next w:val="Normal"/>
    <w:link w:val="TitleChar"/>
    <w:uiPriority w:val="10"/>
    <w:qFormat/>
    <w:rsid w:val="00A83EC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3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EC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3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EC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83ECB"/>
    <w:rPr>
      <w:i/>
      <w:iCs/>
      <w:color w:val="404040" w:themeColor="text1" w:themeTint="BF"/>
    </w:rPr>
  </w:style>
  <w:style w:type="paragraph" w:styleId="ListParagraph">
    <w:name w:val="List Paragraph"/>
    <w:basedOn w:val="Normal"/>
    <w:uiPriority w:val="34"/>
    <w:qFormat/>
    <w:rsid w:val="00A83ECB"/>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83ECB"/>
    <w:rPr>
      <w:i/>
      <w:iCs/>
      <w:color w:val="0F4761" w:themeColor="accent1" w:themeShade="BF"/>
    </w:rPr>
  </w:style>
  <w:style w:type="paragraph" w:styleId="IntenseQuote">
    <w:name w:val="Intense Quote"/>
    <w:basedOn w:val="Normal"/>
    <w:next w:val="Normal"/>
    <w:link w:val="IntenseQuoteChar"/>
    <w:uiPriority w:val="30"/>
    <w:qFormat/>
    <w:rsid w:val="00A83EC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83ECB"/>
    <w:rPr>
      <w:i/>
      <w:iCs/>
      <w:color w:val="0F4761" w:themeColor="accent1" w:themeShade="BF"/>
    </w:rPr>
  </w:style>
  <w:style w:type="character" w:styleId="IntenseReference">
    <w:name w:val="Intense Reference"/>
    <w:basedOn w:val="DefaultParagraphFont"/>
    <w:uiPriority w:val="32"/>
    <w:qFormat/>
    <w:rsid w:val="00A83ECB"/>
    <w:rPr>
      <w:b/>
      <w:bCs/>
      <w:smallCaps/>
      <w:color w:val="0F4761" w:themeColor="accent1" w:themeShade="BF"/>
      <w:spacing w:val="5"/>
    </w:rPr>
  </w:style>
  <w:style w:type="paragraph" w:styleId="Header">
    <w:name w:val="header"/>
    <w:basedOn w:val="Normal"/>
    <w:link w:val="HeaderChar"/>
    <w:uiPriority w:val="99"/>
    <w:unhideWhenUsed/>
    <w:rsid w:val="00A83ECB"/>
    <w:pPr>
      <w:tabs>
        <w:tab w:val="center" w:pos="4320"/>
        <w:tab w:val="right" w:pos="8640"/>
      </w:tabs>
    </w:pPr>
  </w:style>
  <w:style w:type="character" w:customStyle="1" w:styleId="HeaderChar">
    <w:name w:val="Header Char"/>
    <w:basedOn w:val="DefaultParagraphFont"/>
    <w:link w:val="Header"/>
    <w:uiPriority w:val="99"/>
    <w:rsid w:val="00A83ECB"/>
    <w:rPr>
      <w:rFonts w:ascii="Calibri" w:eastAsia="MS Mincho" w:hAnsi="Calibri" w:cs="Times New Roman"/>
      <w:kern w:val="0"/>
      <w:sz w:val="20"/>
      <w:szCs w:val="24"/>
      <w14:ligatures w14:val="none"/>
    </w:rPr>
  </w:style>
  <w:style w:type="paragraph" w:styleId="Footer">
    <w:name w:val="footer"/>
    <w:basedOn w:val="Normal"/>
    <w:link w:val="FooterChar"/>
    <w:uiPriority w:val="99"/>
    <w:unhideWhenUsed/>
    <w:rsid w:val="00A83ECB"/>
    <w:pPr>
      <w:tabs>
        <w:tab w:val="center" w:pos="4320"/>
        <w:tab w:val="right" w:pos="8640"/>
      </w:tabs>
    </w:pPr>
  </w:style>
  <w:style w:type="character" w:customStyle="1" w:styleId="FooterChar">
    <w:name w:val="Footer Char"/>
    <w:basedOn w:val="DefaultParagraphFont"/>
    <w:link w:val="Footer"/>
    <w:uiPriority w:val="99"/>
    <w:rsid w:val="00A83ECB"/>
    <w:rPr>
      <w:rFonts w:ascii="Calibri" w:eastAsia="MS Mincho" w:hAnsi="Calibri" w:cs="Times New Roman"/>
      <w:kern w:val="0"/>
      <w:sz w:val="20"/>
      <w:szCs w:val="24"/>
      <w14:ligatures w14:val="none"/>
    </w:rPr>
  </w:style>
  <w:style w:type="paragraph" w:customStyle="1" w:styleId="BasicParagraph">
    <w:name w:val="[Basic Paragraph]"/>
    <w:basedOn w:val="Normal"/>
    <w:uiPriority w:val="99"/>
    <w:rsid w:val="00A83EC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A83ECB"/>
  </w:style>
  <w:style w:type="character" w:styleId="Hyperlink">
    <w:name w:val="Hyperlink"/>
    <w:uiPriority w:val="99"/>
    <w:unhideWhenUsed/>
    <w:rsid w:val="00A83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Eric.Thevenard@ec.europa.eu" TargetMode="Externa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PEREIRA</dc:creator>
  <cp:keywords/>
  <dc:description/>
  <cp:lastModifiedBy>Joao PEREIRA</cp:lastModifiedBy>
  <cp:revision>1</cp:revision>
  <dcterms:created xsi:type="dcterms:W3CDTF">2024-09-12T10:26:00Z</dcterms:created>
  <dcterms:modified xsi:type="dcterms:W3CDTF">2024-09-12T10:27:00Z</dcterms:modified>
</cp:coreProperties>
</file>