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C61E" w14:textId="49B4C795" w:rsidR="00803E1D" w:rsidRDefault="007871A9" w:rsidP="00274539">
      <w:pPr>
        <w:pStyle w:val="Typedudocument"/>
      </w:pPr>
      <w:r>
        <w:t>SUGGESTED POSSIBLE MAXIMUM LEVELS FOR</w:t>
      </w:r>
      <w:r w:rsidR="008D5270">
        <w:t xml:space="preserve"> CADMIUM, INORGANIC ARSENIC, IODINE AND LEAD IN SEAWEED </w:t>
      </w:r>
      <w:r>
        <w:t>IN VIEW OF A TARGETED STAKEHOLDER CONSULTATION</w:t>
      </w:r>
    </w:p>
    <w:p w14:paraId="669C648F" w14:textId="77777777" w:rsidR="00E107E3" w:rsidRDefault="00E107E3" w:rsidP="00E107E3"/>
    <w:p w14:paraId="18CA9EDD" w14:textId="77777777" w:rsidR="00E107E3" w:rsidRDefault="00E107E3" w:rsidP="00E107E3"/>
    <w:p w14:paraId="41F4FAF2" w14:textId="117141A6" w:rsidR="00E107E3" w:rsidRDefault="00E107E3" w:rsidP="00E107E3">
      <w:pPr>
        <w:jc w:val="left"/>
      </w:pPr>
      <w:r>
        <w:t xml:space="preserve">Deadline stakeholder consultation </w:t>
      </w:r>
      <w:r w:rsidR="008D5270">
        <w:t>16 January 2026</w:t>
      </w:r>
      <w:r>
        <w:t>.</w:t>
      </w:r>
    </w:p>
    <w:p w14:paraId="6C9C465F" w14:textId="77777777" w:rsidR="00A57EB6" w:rsidRDefault="00A57EB6" w:rsidP="00E107E3">
      <w:pPr>
        <w:jc w:val="left"/>
      </w:pPr>
      <w:r>
        <w:t>Comments to be sent to veerle.vanheusden@ec.europa.eu</w:t>
      </w:r>
    </w:p>
    <w:p w14:paraId="6F971B72" w14:textId="77777777" w:rsidR="003B7BDA" w:rsidRDefault="003B7BDA" w:rsidP="00E107E3">
      <w:pPr>
        <w:jc w:val="left"/>
      </w:pPr>
    </w:p>
    <w:p w14:paraId="3C14268B" w14:textId="77777777" w:rsidR="003B7BDA" w:rsidRDefault="003B7BDA" w:rsidP="00E107E3">
      <w:pPr>
        <w:jc w:val="left"/>
      </w:pPr>
    </w:p>
    <w:p w14:paraId="5DAA8E29" w14:textId="77777777" w:rsidR="003B7BDA" w:rsidRDefault="003B7BDA" w:rsidP="00E107E3">
      <w:pPr>
        <w:jc w:val="left"/>
      </w:pPr>
    </w:p>
    <w:p w14:paraId="2CE4268E" w14:textId="77777777" w:rsidR="003B7BDA" w:rsidRDefault="003B7BDA" w:rsidP="00E107E3">
      <w:pPr>
        <w:jc w:val="left"/>
      </w:pPr>
    </w:p>
    <w:p w14:paraId="0C1B2E01" w14:textId="77777777" w:rsidR="003B7BDA" w:rsidRDefault="003B7BDA" w:rsidP="00E107E3">
      <w:pPr>
        <w:jc w:val="left"/>
      </w:pPr>
    </w:p>
    <w:p w14:paraId="3B1BBFA0" w14:textId="77777777" w:rsidR="003B7BDA" w:rsidRDefault="003B7BDA" w:rsidP="00E107E3">
      <w:pPr>
        <w:jc w:val="left"/>
      </w:pPr>
    </w:p>
    <w:p w14:paraId="50F61E56" w14:textId="77777777" w:rsidR="003B7BDA" w:rsidRDefault="003B7BDA" w:rsidP="00E107E3">
      <w:pPr>
        <w:jc w:val="left"/>
      </w:pPr>
    </w:p>
    <w:p w14:paraId="709B431A" w14:textId="77777777" w:rsidR="003B7BDA" w:rsidRDefault="003B7BDA" w:rsidP="00E107E3">
      <w:pPr>
        <w:jc w:val="left"/>
      </w:pPr>
    </w:p>
    <w:p w14:paraId="7A4676CE" w14:textId="77777777" w:rsidR="003B7BDA" w:rsidRDefault="003B7BDA" w:rsidP="00E107E3">
      <w:pPr>
        <w:jc w:val="left"/>
      </w:pPr>
    </w:p>
    <w:p w14:paraId="0E6C103E" w14:textId="05A3E55F" w:rsidR="003B7BDA" w:rsidRDefault="003B7BDA" w:rsidP="00E107E3">
      <w:pPr>
        <w:jc w:val="left"/>
      </w:pPr>
    </w:p>
    <w:p w14:paraId="7BA31BBD" w14:textId="77777777" w:rsidR="003B7BDA" w:rsidRDefault="003B7BDA" w:rsidP="00E107E3">
      <w:pPr>
        <w:jc w:val="left"/>
      </w:pPr>
    </w:p>
    <w:p w14:paraId="3FA33077" w14:textId="77777777" w:rsidR="003B7BDA" w:rsidRDefault="003B7BDA" w:rsidP="00E107E3">
      <w:pPr>
        <w:jc w:val="left"/>
      </w:pPr>
    </w:p>
    <w:p w14:paraId="303D40C1" w14:textId="62B7C8E7" w:rsidR="003B7BDA" w:rsidRPr="00E107E3" w:rsidRDefault="003B7BDA" w:rsidP="00E107E3">
      <w:pPr>
        <w:jc w:val="left"/>
        <w:sectPr w:rsidR="003B7BDA" w:rsidRPr="00E107E3" w:rsidSect="00A57E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/>
          <w:pgMar w:top="1417" w:right="1134" w:bottom="1417" w:left="1134" w:header="709" w:footer="709" w:gutter="0"/>
          <w:cols w:space="720"/>
          <w:docGrid w:linePitch="360"/>
        </w:sectPr>
      </w:pPr>
    </w:p>
    <w:p w14:paraId="13F84E48" w14:textId="77777777" w:rsidR="008D5270" w:rsidRDefault="008D5270" w:rsidP="008D5270">
      <w:pPr>
        <w:pStyle w:val="Annexetitre"/>
      </w:pPr>
      <w:r w:rsidRPr="007B28EF">
        <w:lastRenderedPageBreak/>
        <w:t xml:space="preserve">ANNEX </w:t>
      </w:r>
    </w:p>
    <w:p w14:paraId="37DFEBAF" w14:textId="33A9C781" w:rsidR="008D5270" w:rsidRDefault="008D5270" w:rsidP="008D5270">
      <w:r>
        <w:t xml:space="preserve">Proposed amendment of </w:t>
      </w:r>
      <w:r>
        <w:t xml:space="preserve">Annex I </w:t>
      </w:r>
      <w:r>
        <w:t>to Regulation (EU) 2023/915</w:t>
      </w:r>
      <w:r>
        <w:t>:</w:t>
      </w:r>
    </w:p>
    <w:p w14:paraId="24617603" w14:textId="77777777" w:rsidR="008D5270" w:rsidRDefault="008D5270" w:rsidP="008D5270">
      <w:pPr>
        <w:pStyle w:val="ListParagraph"/>
        <w:numPr>
          <w:ilvl w:val="0"/>
          <w:numId w:val="1"/>
        </w:numPr>
      </w:pPr>
      <w:r>
        <w:t>In s</w:t>
      </w:r>
      <w:r w:rsidRPr="00280649">
        <w:t xml:space="preserve">ection 3 </w:t>
      </w:r>
      <w:r>
        <w:t>(</w:t>
      </w:r>
      <w:r w:rsidRPr="00280649">
        <w:t>Metals and other elements</w:t>
      </w:r>
      <w:r>
        <w:t>),</w:t>
      </w:r>
      <w:r w:rsidRPr="00280649">
        <w:t xml:space="preserve"> </w:t>
      </w:r>
      <w:r>
        <w:t xml:space="preserve">in </w:t>
      </w:r>
      <w:r w:rsidRPr="000157F5">
        <w:t>subsection 3.</w:t>
      </w:r>
      <w:r>
        <w:t>1</w:t>
      </w:r>
      <w:r w:rsidRPr="000157F5">
        <w:t xml:space="preserve"> (</w:t>
      </w:r>
      <w:r w:rsidRPr="008D5270">
        <w:rPr>
          <w:b/>
          <w:bCs/>
        </w:rPr>
        <w:t>Lead</w:t>
      </w:r>
      <w:r w:rsidRPr="000157F5">
        <w:t>)</w:t>
      </w:r>
      <w:r>
        <w:t xml:space="preserve"> after row 3.1.28 the following rows are added:</w:t>
      </w:r>
    </w:p>
    <w:p w14:paraId="49F917F9" w14:textId="77777777" w:rsidR="008D5270" w:rsidRPr="00873886" w:rsidRDefault="008D5270" w:rsidP="008D5270">
      <w:r>
        <w:t>‘</w:t>
      </w:r>
    </w:p>
    <w:tbl>
      <w:tblPr>
        <w:tblStyle w:val="TableGrid"/>
        <w:tblW w:w="149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649"/>
        <w:gridCol w:w="2268"/>
        <w:gridCol w:w="6899"/>
      </w:tblGrid>
      <w:tr w:rsidR="008D5270" w:rsidRPr="00025114" w14:paraId="36223F63" w14:textId="77777777" w:rsidTr="00166763">
        <w:trPr>
          <w:cantSplit/>
          <w:trHeight w:val="255"/>
        </w:trPr>
        <w:tc>
          <w:tcPr>
            <w:tcW w:w="1176" w:type="dxa"/>
            <w:noWrap/>
            <w:hideMark/>
          </w:tcPr>
          <w:p w14:paraId="74197ED9" w14:textId="77777777" w:rsidR="008D5270" w:rsidRPr="003D7C01" w:rsidRDefault="008D5270" w:rsidP="00166763">
            <w:r w:rsidRPr="003D7C01">
              <w:t>3.1.29</w:t>
            </w:r>
          </w:p>
        </w:tc>
        <w:tc>
          <w:tcPr>
            <w:tcW w:w="4649" w:type="dxa"/>
            <w:hideMark/>
          </w:tcPr>
          <w:p w14:paraId="11245168" w14:textId="77777777" w:rsidR="008D5270" w:rsidRPr="003D7C01" w:rsidRDefault="008D5270" w:rsidP="00166763">
            <w:r w:rsidRPr="003D7C01">
              <w:t>Seaweed placed on the market to the final consumer or used as an ingredient in food.</w:t>
            </w:r>
          </w:p>
        </w:tc>
        <w:tc>
          <w:tcPr>
            <w:tcW w:w="2268" w:type="dxa"/>
            <w:noWrap/>
          </w:tcPr>
          <w:p w14:paraId="3953BEF3" w14:textId="77777777" w:rsidR="008D5270" w:rsidRPr="000F76DA" w:rsidRDefault="008D5270" w:rsidP="00166763">
            <w:pPr>
              <w:jc w:val="center"/>
              <w:rPr>
                <w:lang w:val="en-IE"/>
              </w:rPr>
            </w:pPr>
          </w:p>
        </w:tc>
        <w:tc>
          <w:tcPr>
            <w:tcW w:w="6899" w:type="dxa"/>
          </w:tcPr>
          <w:p w14:paraId="5CD144A5" w14:textId="77777777" w:rsidR="008D5270" w:rsidRDefault="008D5270" w:rsidP="00166763">
            <w:r>
              <w:t>For dry seaweed the maximum level applies to the product as placed on the market.</w:t>
            </w:r>
          </w:p>
          <w:p w14:paraId="63435C02" w14:textId="77777777" w:rsidR="008D5270" w:rsidRDefault="008D5270" w:rsidP="00166763">
            <w:r>
              <w:t>For fresh seaweed the maximum level applies on a dry matter basis (*).</w:t>
            </w:r>
          </w:p>
          <w:p w14:paraId="2A2DB269" w14:textId="77777777" w:rsidR="008D5270" w:rsidRPr="00025114" w:rsidRDefault="008D5270" w:rsidP="00166763"/>
        </w:tc>
      </w:tr>
      <w:tr w:rsidR="008D5270" w:rsidRPr="00025114" w14:paraId="58242A0D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5AE67941" w14:textId="77777777" w:rsidR="008D5270" w:rsidRPr="00025114" w:rsidRDefault="008D5270" w:rsidP="00166763">
            <w:r>
              <w:t>3.2.29.1</w:t>
            </w:r>
          </w:p>
        </w:tc>
        <w:tc>
          <w:tcPr>
            <w:tcW w:w="4649" w:type="dxa"/>
          </w:tcPr>
          <w:p w14:paraId="56C6869B" w14:textId="77777777" w:rsidR="008D5270" w:rsidRPr="00025114" w:rsidRDefault="008D5270" w:rsidP="00166763">
            <w:r>
              <w:t>Brown seaweed (</w:t>
            </w:r>
            <w:proofErr w:type="spellStart"/>
            <w:r w:rsidRPr="00D72059">
              <w:rPr>
                <w:i/>
                <w:iCs/>
              </w:rPr>
              <w:t>Ochrophyta</w:t>
            </w:r>
            <w:proofErr w:type="spellEnd"/>
            <w:r>
              <w:t>)</w:t>
            </w:r>
          </w:p>
        </w:tc>
        <w:tc>
          <w:tcPr>
            <w:tcW w:w="2268" w:type="dxa"/>
            <w:noWrap/>
          </w:tcPr>
          <w:p w14:paraId="1926D9E7" w14:textId="77777777" w:rsidR="008D5270" w:rsidRPr="000F76DA" w:rsidRDefault="008D5270" w:rsidP="00166763">
            <w:pPr>
              <w:jc w:val="center"/>
            </w:pPr>
            <w:r>
              <w:t>1.5</w:t>
            </w:r>
          </w:p>
        </w:tc>
        <w:tc>
          <w:tcPr>
            <w:tcW w:w="6899" w:type="dxa"/>
          </w:tcPr>
          <w:p w14:paraId="0282347C" w14:textId="77777777" w:rsidR="008D5270" w:rsidRPr="000F76DA" w:rsidRDefault="008D5270" w:rsidP="00166763"/>
        </w:tc>
      </w:tr>
      <w:tr w:rsidR="008D5270" w:rsidRPr="00025114" w14:paraId="5E3B8D49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7E6E069E" w14:textId="77777777" w:rsidR="008D5270" w:rsidRPr="00025114" w:rsidRDefault="008D5270" w:rsidP="00166763">
            <w:r>
              <w:t>3.2.29.2</w:t>
            </w:r>
          </w:p>
        </w:tc>
        <w:tc>
          <w:tcPr>
            <w:tcW w:w="4649" w:type="dxa"/>
          </w:tcPr>
          <w:p w14:paraId="5E00E0B2" w14:textId="77777777" w:rsidR="008D5270" w:rsidRPr="00025114" w:rsidRDefault="008D5270" w:rsidP="00166763">
            <w:r>
              <w:t>Red seaweed (</w:t>
            </w:r>
            <w:r w:rsidRPr="00D72059">
              <w:rPr>
                <w:i/>
                <w:iCs/>
                <w:lang w:val="en-IE"/>
              </w:rPr>
              <w:t>Rhodophyta</w:t>
            </w:r>
            <w:r w:rsidRPr="00D72059">
              <w:rPr>
                <w:i/>
                <w:iCs/>
              </w:rPr>
              <w:t>)</w:t>
            </w:r>
          </w:p>
        </w:tc>
        <w:tc>
          <w:tcPr>
            <w:tcW w:w="2268" w:type="dxa"/>
            <w:noWrap/>
          </w:tcPr>
          <w:p w14:paraId="62B8EBE5" w14:textId="77777777" w:rsidR="008D5270" w:rsidRPr="000F76DA" w:rsidRDefault="008D5270" w:rsidP="00166763">
            <w:pPr>
              <w:jc w:val="center"/>
            </w:pPr>
          </w:p>
        </w:tc>
        <w:tc>
          <w:tcPr>
            <w:tcW w:w="6899" w:type="dxa"/>
          </w:tcPr>
          <w:p w14:paraId="6B3EAB39" w14:textId="77777777" w:rsidR="008D5270" w:rsidRPr="000F76DA" w:rsidRDefault="008D5270" w:rsidP="00166763"/>
        </w:tc>
      </w:tr>
      <w:tr w:rsidR="008D5270" w:rsidRPr="00025114" w14:paraId="0EC65ED3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2DA812CC" w14:textId="77777777" w:rsidR="008D5270" w:rsidRDefault="008D5270" w:rsidP="00166763">
            <w:r>
              <w:t>3.2.29.2.1</w:t>
            </w:r>
          </w:p>
        </w:tc>
        <w:tc>
          <w:tcPr>
            <w:tcW w:w="4649" w:type="dxa"/>
          </w:tcPr>
          <w:p w14:paraId="23E5D774" w14:textId="77777777" w:rsidR="008D5270" w:rsidRPr="009F50D7" w:rsidRDefault="008D5270" w:rsidP="00166763">
            <w:pPr>
              <w:rPr>
                <w:lang w:val="fr-BE"/>
              </w:rPr>
            </w:pPr>
            <w:r w:rsidRPr="009F50D7">
              <w:rPr>
                <w:lang w:val="fr-BE"/>
              </w:rPr>
              <w:t>Laver/ nori (</w:t>
            </w:r>
            <w:r w:rsidRPr="009F50D7">
              <w:rPr>
                <w:i/>
                <w:iCs/>
                <w:lang w:val="fr-BE"/>
              </w:rPr>
              <w:t xml:space="preserve">Porphyra </w:t>
            </w:r>
            <w:r>
              <w:rPr>
                <w:i/>
                <w:iCs/>
                <w:lang w:val="fr-BE"/>
              </w:rPr>
              <w:t>and</w:t>
            </w:r>
            <w:r w:rsidRPr="009F50D7">
              <w:rPr>
                <w:i/>
                <w:iCs/>
                <w:lang w:val="fr-BE"/>
              </w:rPr>
              <w:t xml:space="preserve"> </w:t>
            </w:r>
            <w:proofErr w:type="spellStart"/>
            <w:r w:rsidRPr="009F50D7">
              <w:rPr>
                <w:i/>
                <w:iCs/>
                <w:lang w:val="fr-BE"/>
              </w:rPr>
              <w:t>Pyropia</w:t>
            </w:r>
            <w:proofErr w:type="spellEnd"/>
            <w:r w:rsidRPr="009F50D7">
              <w:rPr>
                <w:i/>
                <w:iCs/>
                <w:lang w:val="fr-BE"/>
              </w:rPr>
              <w:t xml:space="preserve"> </w:t>
            </w:r>
            <w:proofErr w:type="spellStart"/>
            <w:r w:rsidRPr="009F50D7">
              <w:rPr>
                <w:i/>
                <w:iCs/>
                <w:lang w:val="fr-BE"/>
              </w:rPr>
              <w:t>spp</w:t>
            </w:r>
            <w:proofErr w:type="spellEnd"/>
            <w:r w:rsidRPr="009F50D7">
              <w:rPr>
                <w:i/>
                <w:iCs/>
                <w:lang w:val="fr-BE"/>
              </w:rPr>
              <w:t>.</w:t>
            </w:r>
            <w:r w:rsidRPr="009F50D7">
              <w:rPr>
                <w:lang w:val="fr-BE"/>
              </w:rPr>
              <w:t>)</w:t>
            </w:r>
          </w:p>
        </w:tc>
        <w:tc>
          <w:tcPr>
            <w:tcW w:w="2268" w:type="dxa"/>
            <w:noWrap/>
          </w:tcPr>
          <w:p w14:paraId="43875196" w14:textId="77777777" w:rsidR="008D5270" w:rsidRDefault="008D5270" w:rsidP="00166763">
            <w:pPr>
              <w:jc w:val="center"/>
            </w:pPr>
            <w:r>
              <w:t>0.50</w:t>
            </w:r>
          </w:p>
        </w:tc>
        <w:tc>
          <w:tcPr>
            <w:tcW w:w="6899" w:type="dxa"/>
          </w:tcPr>
          <w:p w14:paraId="3951B62B" w14:textId="77777777" w:rsidR="008D5270" w:rsidRPr="000F76DA" w:rsidRDefault="008D5270" w:rsidP="00166763"/>
        </w:tc>
      </w:tr>
      <w:tr w:rsidR="008D5270" w:rsidRPr="00025114" w14:paraId="2A3F8C6D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6B3077E7" w14:textId="77777777" w:rsidR="008D5270" w:rsidRDefault="008D5270" w:rsidP="00166763">
            <w:r>
              <w:t>3.2.29.2.2</w:t>
            </w:r>
          </w:p>
        </w:tc>
        <w:tc>
          <w:tcPr>
            <w:tcW w:w="4649" w:type="dxa"/>
          </w:tcPr>
          <w:p w14:paraId="3D74BC0C" w14:textId="77777777" w:rsidR="008D5270" w:rsidRDefault="008D5270" w:rsidP="00166763">
            <w:r>
              <w:t>Red seaweed (</w:t>
            </w:r>
            <w:r w:rsidRPr="00D72059">
              <w:rPr>
                <w:i/>
                <w:iCs/>
                <w:lang w:val="en-IE"/>
              </w:rPr>
              <w:t>Rhodophyta</w:t>
            </w:r>
            <w:r>
              <w:t>) other than laver (</w:t>
            </w:r>
            <w:r w:rsidRPr="00EC02FB">
              <w:rPr>
                <w:i/>
                <w:iCs/>
                <w:lang w:val="en-IE"/>
              </w:rPr>
              <w:t xml:space="preserve">Porphyra </w:t>
            </w:r>
            <w:r>
              <w:rPr>
                <w:i/>
                <w:iCs/>
                <w:lang w:val="en-IE"/>
              </w:rPr>
              <w:t xml:space="preserve">and </w:t>
            </w:r>
            <w:proofErr w:type="spellStart"/>
            <w:r>
              <w:rPr>
                <w:i/>
                <w:iCs/>
                <w:lang w:val="en-IE"/>
              </w:rPr>
              <w:t>Pyropia</w:t>
            </w:r>
            <w:proofErr w:type="spellEnd"/>
            <w:r>
              <w:rPr>
                <w:i/>
                <w:iCs/>
                <w:lang w:val="en-IE"/>
              </w:rPr>
              <w:t xml:space="preserve"> spp.</w:t>
            </w:r>
            <w:r w:rsidRPr="00A82DCF">
              <w:rPr>
                <w:lang w:val="en-IE"/>
              </w:rPr>
              <w:t>)</w:t>
            </w:r>
          </w:p>
        </w:tc>
        <w:tc>
          <w:tcPr>
            <w:tcW w:w="2268" w:type="dxa"/>
            <w:noWrap/>
          </w:tcPr>
          <w:p w14:paraId="425EFE30" w14:textId="77777777" w:rsidR="008D5270" w:rsidRDefault="008D5270" w:rsidP="00166763">
            <w:pPr>
              <w:jc w:val="center"/>
            </w:pPr>
            <w:r>
              <w:t>2.0</w:t>
            </w:r>
          </w:p>
        </w:tc>
        <w:tc>
          <w:tcPr>
            <w:tcW w:w="6899" w:type="dxa"/>
          </w:tcPr>
          <w:p w14:paraId="514A4B82" w14:textId="77777777" w:rsidR="008D5270" w:rsidRPr="000F76DA" w:rsidRDefault="008D5270" w:rsidP="00166763"/>
        </w:tc>
      </w:tr>
      <w:tr w:rsidR="008D5270" w:rsidRPr="00025114" w14:paraId="46C3DC49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62FAEF09" w14:textId="77777777" w:rsidR="008D5270" w:rsidRDefault="008D5270" w:rsidP="00166763">
            <w:r>
              <w:t>3.2.29.3</w:t>
            </w:r>
          </w:p>
        </w:tc>
        <w:tc>
          <w:tcPr>
            <w:tcW w:w="4649" w:type="dxa"/>
          </w:tcPr>
          <w:p w14:paraId="4FB12A60" w14:textId="77777777" w:rsidR="008D5270" w:rsidRDefault="008D5270" w:rsidP="00166763">
            <w:r>
              <w:t>Green seaweed (</w:t>
            </w:r>
            <w:r w:rsidRPr="00D72059">
              <w:rPr>
                <w:i/>
                <w:iCs/>
              </w:rPr>
              <w:t>Chlorophyta</w:t>
            </w:r>
            <w:r>
              <w:t>)</w:t>
            </w:r>
          </w:p>
        </w:tc>
        <w:tc>
          <w:tcPr>
            <w:tcW w:w="2268" w:type="dxa"/>
            <w:noWrap/>
          </w:tcPr>
          <w:p w14:paraId="5AB37340" w14:textId="77777777" w:rsidR="008D5270" w:rsidRDefault="008D5270" w:rsidP="00166763">
            <w:pPr>
              <w:jc w:val="center"/>
            </w:pPr>
            <w:r>
              <w:t>2.0</w:t>
            </w:r>
          </w:p>
        </w:tc>
        <w:tc>
          <w:tcPr>
            <w:tcW w:w="6899" w:type="dxa"/>
          </w:tcPr>
          <w:p w14:paraId="315937F1" w14:textId="77777777" w:rsidR="008D5270" w:rsidRPr="000F76DA" w:rsidRDefault="008D5270" w:rsidP="00166763"/>
        </w:tc>
      </w:tr>
    </w:tbl>
    <w:p w14:paraId="62E6BE26" w14:textId="77777777" w:rsidR="008D5270" w:rsidRPr="00B2388A" w:rsidRDefault="008D5270" w:rsidP="008D5270">
      <w:r w:rsidRPr="0085338E">
        <w:rPr>
          <w:lang w:val="en-IE"/>
        </w:rPr>
        <w:t>(*) Dry matter is determined in accordance with Commission Regulation (EC) No 333/2007 of 28 March 2007 laying down the methods of sampling and analysis for the control of the levels of trace elements and processing contaminants in foodstuffs (OJ L 88, 29.3.2007, p. 29, ELI: http://data.europa.eu/eli/reg/2007/333/oj).</w:t>
      </w:r>
      <w:r>
        <w:t>’;</w:t>
      </w:r>
    </w:p>
    <w:p w14:paraId="4919ABA5" w14:textId="77777777" w:rsidR="008D5270" w:rsidRDefault="008D5270" w:rsidP="008D5270"/>
    <w:p w14:paraId="78DAABBC" w14:textId="77777777" w:rsidR="008D5270" w:rsidRDefault="008D5270" w:rsidP="008D5270">
      <w:pPr>
        <w:pStyle w:val="ListParagraph"/>
        <w:numPr>
          <w:ilvl w:val="0"/>
          <w:numId w:val="1"/>
        </w:numPr>
      </w:pPr>
      <w:r>
        <w:t>In s</w:t>
      </w:r>
      <w:r w:rsidRPr="00280649">
        <w:t xml:space="preserve">ection 3 </w:t>
      </w:r>
      <w:r>
        <w:t>(</w:t>
      </w:r>
      <w:r w:rsidRPr="00280649">
        <w:t>Metals and other elements</w:t>
      </w:r>
      <w:r>
        <w:t>),</w:t>
      </w:r>
      <w:r w:rsidRPr="00280649">
        <w:t xml:space="preserve"> </w:t>
      </w:r>
      <w:r>
        <w:t xml:space="preserve">in </w:t>
      </w:r>
      <w:r w:rsidRPr="000157F5">
        <w:t>subsection 3.</w:t>
      </w:r>
      <w:r>
        <w:t>2</w:t>
      </w:r>
      <w:r w:rsidRPr="000157F5">
        <w:t xml:space="preserve"> (</w:t>
      </w:r>
      <w:r w:rsidRPr="008D5270">
        <w:rPr>
          <w:b/>
          <w:bCs/>
        </w:rPr>
        <w:t>Cadmium</w:t>
      </w:r>
      <w:r w:rsidRPr="000157F5">
        <w:t>)</w:t>
      </w:r>
      <w:r>
        <w:t xml:space="preserve"> after row 3.2.21.2 the following rows are added:</w:t>
      </w:r>
    </w:p>
    <w:p w14:paraId="77FB407B" w14:textId="77777777" w:rsidR="008D5270" w:rsidRDefault="008D5270" w:rsidP="008D5270">
      <w:r>
        <w:t>‘</w:t>
      </w:r>
    </w:p>
    <w:tbl>
      <w:tblPr>
        <w:tblStyle w:val="TableGrid"/>
        <w:tblW w:w="149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6946"/>
      </w:tblGrid>
      <w:tr w:rsidR="008D5270" w:rsidRPr="00025114" w14:paraId="273838B0" w14:textId="77777777" w:rsidTr="00166763">
        <w:trPr>
          <w:cantSplit/>
          <w:trHeight w:val="255"/>
        </w:trPr>
        <w:tc>
          <w:tcPr>
            <w:tcW w:w="1101" w:type="dxa"/>
            <w:noWrap/>
            <w:hideMark/>
          </w:tcPr>
          <w:p w14:paraId="7CE5B22E" w14:textId="77777777" w:rsidR="008D5270" w:rsidRPr="00025114" w:rsidRDefault="008D5270" w:rsidP="00166763">
            <w:r>
              <w:t>3.2.22</w:t>
            </w:r>
          </w:p>
        </w:tc>
        <w:tc>
          <w:tcPr>
            <w:tcW w:w="4677" w:type="dxa"/>
            <w:hideMark/>
          </w:tcPr>
          <w:p w14:paraId="12F18686" w14:textId="77777777" w:rsidR="008D5270" w:rsidRPr="00025114" w:rsidRDefault="008D5270" w:rsidP="00166763">
            <w:r w:rsidRPr="003D7C01">
              <w:t>Seaweed placed on the market to the final consumer or used as an ingredient in food.</w:t>
            </w:r>
          </w:p>
        </w:tc>
        <w:tc>
          <w:tcPr>
            <w:tcW w:w="2268" w:type="dxa"/>
            <w:noWrap/>
          </w:tcPr>
          <w:p w14:paraId="56C2873D" w14:textId="77777777" w:rsidR="008D5270" w:rsidRPr="000F76DA" w:rsidRDefault="008D5270" w:rsidP="00166763">
            <w:pPr>
              <w:jc w:val="center"/>
              <w:rPr>
                <w:lang w:val="en-IE"/>
              </w:rPr>
            </w:pPr>
          </w:p>
        </w:tc>
        <w:tc>
          <w:tcPr>
            <w:tcW w:w="6946" w:type="dxa"/>
          </w:tcPr>
          <w:p w14:paraId="7FCB10B7" w14:textId="77777777" w:rsidR="008D5270" w:rsidRDefault="008D5270" w:rsidP="00166763">
            <w:r>
              <w:t>For dry seaweed the maximum level applies to the product as placed on the market.</w:t>
            </w:r>
          </w:p>
          <w:p w14:paraId="2C4D295A" w14:textId="77777777" w:rsidR="008D5270" w:rsidRPr="00025114" w:rsidRDefault="008D5270" w:rsidP="00166763">
            <w:r>
              <w:t>For fresh seaweed the maximum level applies on a dry matter basis (*).</w:t>
            </w:r>
          </w:p>
        </w:tc>
      </w:tr>
      <w:tr w:rsidR="008D5270" w:rsidRPr="000F76DA" w14:paraId="7913C064" w14:textId="77777777" w:rsidTr="00166763">
        <w:trPr>
          <w:cantSplit/>
          <w:trHeight w:val="255"/>
        </w:trPr>
        <w:tc>
          <w:tcPr>
            <w:tcW w:w="1101" w:type="dxa"/>
            <w:noWrap/>
          </w:tcPr>
          <w:p w14:paraId="32E38D5B" w14:textId="77777777" w:rsidR="008D5270" w:rsidRPr="00025114" w:rsidRDefault="008D5270" w:rsidP="00166763">
            <w:r>
              <w:t>3.2.22.1</w:t>
            </w:r>
          </w:p>
        </w:tc>
        <w:tc>
          <w:tcPr>
            <w:tcW w:w="4677" w:type="dxa"/>
          </w:tcPr>
          <w:p w14:paraId="5EB2B898" w14:textId="77777777" w:rsidR="008D5270" w:rsidRPr="00025114" w:rsidRDefault="008D5270" w:rsidP="00166763">
            <w:r>
              <w:t>Brown seaweed (</w:t>
            </w:r>
            <w:proofErr w:type="spellStart"/>
            <w:r w:rsidRPr="00D72059">
              <w:rPr>
                <w:i/>
                <w:iCs/>
              </w:rPr>
              <w:t>Ochrophyta</w:t>
            </w:r>
            <w:proofErr w:type="spellEnd"/>
            <w:r>
              <w:t>)</w:t>
            </w:r>
          </w:p>
        </w:tc>
        <w:tc>
          <w:tcPr>
            <w:tcW w:w="2268" w:type="dxa"/>
            <w:noWrap/>
          </w:tcPr>
          <w:p w14:paraId="09608593" w14:textId="77777777" w:rsidR="008D5270" w:rsidRPr="000F76DA" w:rsidRDefault="008D5270" w:rsidP="00166763">
            <w:pPr>
              <w:jc w:val="center"/>
            </w:pPr>
            <w:r>
              <w:t>3.0</w:t>
            </w:r>
          </w:p>
        </w:tc>
        <w:tc>
          <w:tcPr>
            <w:tcW w:w="6946" w:type="dxa"/>
          </w:tcPr>
          <w:p w14:paraId="56F11086" w14:textId="77777777" w:rsidR="008D5270" w:rsidRPr="000F76DA" w:rsidRDefault="008D5270" w:rsidP="00166763"/>
        </w:tc>
      </w:tr>
      <w:tr w:rsidR="008D5270" w:rsidRPr="000F76DA" w14:paraId="4D419ABD" w14:textId="77777777" w:rsidTr="00166763">
        <w:trPr>
          <w:cantSplit/>
          <w:trHeight w:val="255"/>
        </w:trPr>
        <w:tc>
          <w:tcPr>
            <w:tcW w:w="1101" w:type="dxa"/>
            <w:noWrap/>
          </w:tcPr>
          <w:p w14:paraId="05C8A2C2" w14:textId="77777777" w:rsidR="008D5270" w:rsidRPr="00025114" w:rsidRDefault="008D5270" w:rsidP="00166763">
            <w:r>
              <w:t>3.2.22.2</w:t>
            </w:r>
          </w:p>
        </w:tc>
        <w:tc>
          <w:tcPr>
            <w:tcW w:w="4677" w:type="dxa"/>
          </w:tcPr>
          <w:p w14:paraId="7D18ABA3" w14:textId="77777777" w:rsidR="008D5270" w:rsidRPr="00025114" w:rsidRDefault="008D5270" w:rsidP="00166763">
            <w:r>
              <w:t>Red and green seaweed (</w:t>
            </w:r>
            <w:r w:rsidRPr="00D72059">
              <w:rPr>
                <w:i/>
                <w:iCs/>
                <w:lang w:val="en-IE"/>
              </w:rPr>
              <w:t>Rhodophyta</w:t>
            </w:r>
            <w:r>
              <w:rPr>
                <w:i/>
                <w:iCs/>
                <w:lang w:val="en-IE"/>
              </w:rPr>
              <w:t xml:space="preserve"> and </w:t>
            </w:r>
            <w:r w:rsidRPr="00D72059">
              <w:rPr>
                <w:i/>
                <w:iCs/>
              </w:rPr>
              <w:t>Chlorophyta</w:t>
            </w:r>
            <w:r>
              <w:t>)</w:t>
            </w:r>
          </w:p>
        </w:tc>
        <w:tc>
          <w:tcPr>
            <w:tcW w:w="2268" w:type="dxa"/>
            <w:noWrap/>
          </w:tcPr>
          <w:p w14:paraId="367D9123" w14:textId="77777777" w:rsidR="008D5270" w:rsidRPr="000F76DA" w:rsidRDefault="008D5270" w:rsidP="00166763">
            <w:pPr>
              <w:jc w:val="center"/>
            </w:pPr>
            <w:r>
              <w:t>4.0</w:t>
            </w:r>
          </w:p>
        </w:tc>
        <w:tc>
          <w:tcPr>
            <w:tcW w:w="6946" w:type="dxa"/>
          </w:tcPr>
          <w:p w14:paraId="0A35CE8D" w14:textId="77777777" w:rsidR="008D5270" w:rsidRPr="000F76DA" w:rsidRDefault="008D5270" w:rsidP="00166763"/>
        </w:tc>
      </w:tr>
    </w:tbl>
    <w:p w14:paraId="68DA223E" w14:textId="77777777" w:rsidR="008D5270" w:rsidRDefault="008D5270" w:rsidP="008D5270">
      <w:r>
        <w:t>’;</w:t>
      </w:r>
    </w:p>
    <w:p w14:paraId="13609FB5" w14:textId="77777777" w:rsidR="008D5270" w:rsidRDefault="008D5270" w:rsidP="008D5270">
      <w:pPr>
        <w:pStyle w:val="ListParagraph"/>
        <w:numPr>
          <w:ilvl w:val="0"/>
          <w:numId w:val="1"/>
        </w:numPr>
      </w:pPr>
      <w:r>
        <w:t>In s</w:t>
      </w:r>
      <w:r w:rsidRPr="00280649">
        <w:t xml:space="preserve">ection 3 </w:t>
      </w:r>
      <w:r>
        <w:t>(</w:t>
      </w:r>
      <w:r w:rsidRPr="00280649">
        <w:t>Metals and other elements</w:t>
      </w:r>
      <w:r>
        <w:t>),</w:t>
      </w:r>
      <w:r w:rsidRPr="00280649">
        <w:t xml:space="preserve"> </w:t>
      </w:r>
      <w:r>
        <w:t xml:space="preserve">in </w:t>
      </w:r>
      <w:r w:rsidRPr="000157F5">
        <w:t>subsection 3.</w:t>
      </w:r>
      <w:r>
        <w:t>4</w:t>
      </w:r>
      <w:r w:rsidRPr="000157F5">
        <w:t xml:space="preserve"> (</w:t>
      </w:r>
      <w:r w:rsidRPr="008D5270">
        <w:rPr>
          <w:b/>
          <w:bCs/>
        </w:rPr>
        <w:t>Arsenic</w:t>
      </w:r>
      <w:r w:rsidRPr="000157F5">
        <w:t>)</w:t>
      </w:r>
      <w:r>
        <w:t xml:space="preserve"> </w:t>
      </w:r>
      <w:r w:rsidRPr="008C3456">
        <w:t>entry 3.4.</w:t>
      </w:r>
      <w:r>
        <w:t>9</w:t>
      </w:r>
      <w:r w:rsidRPr="008C3456">
        <w:t xml:space="preserve"> and the row above are</w:t>
      </w:r>
      <w:r>
        <w:t xml:space="preserve"> replaced by the following::</w:t>
      </w:r>
    </w:p>
    <w:p w14:paraId="7CDBADE7" w14:textId="77777777" w:rsidR="008D5270" w:rsidRPr="00873886" w:rsidRDefault="008D5270" w:rsidP="008D5270">
      <w:r>
        <w:t>‘</w:t>
      </w:r>
    </w:p>
    <w:tbl>
      <w:tblPr>
        <w:tblStyle w:val="TableGrid"/>
        <w:tblW w:w="149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652"/>
        <w:gridCol w:w="2268"/>
        <w:gridCol w:w="6896"/>
      </w:tblGrid>
      <w:tr w:rsidR="008D5270" w:rsidRPr="00025114" w14:paraId="52DD636C" w14:textId="77777777" w:rsidTr="00166763">
        <w:trPr>
          <w:cantSplit/>
          <w:trHeight w:val="255"/>
        </w:trPr>
        <w:tc>
          <w:tcPr>
            <w:tcW w:w="1176" w:type="dxa"/>
            <w:noWrap/>
            <w:hideMark/>
          </w:tcPr>
          <w:p w14:paraId="12AB7E3E" w14:textId="77777777" w:rsidR="008D5270" w:rsidRPr="00025114" w:rsidRDefault="008D5270" w:rsidP="00166763">
            <w:r>
              <w:t>3.4.9</w:t>
            </w:r>
          </w:p>
        </w:tc>
        <w:tc>
          <w:tcPr>
            <w:tcW w:w="4652" w:type="dxa"/>
            <w:hideMark/>
          </w:tcPr>
          <w:p w14:paraId="5816C5CC" w14:textId="77777777" w:rsidR="008D5270" w:rsidRPr="00025114" w:rsidRDefault="008D5270" w:rsidP="00166763">
            <w:r w:rsidRPr="003D7C01">
              <w:t>Seaweed placed on the market to the final consumer or used as an ingredient in food.</w:t>
            </w:r>
          </w:p>
        </w:tc>
        <w:tc>
          <w:tcPr>
            <w:tcW w:w="2268" w:type="dxa"/>
            <w:noWrap/>
          </w:tcPr>
          <w:p w14:paraId="7CAF0291" w14:textId="77777777" w:rsidR="008D5270" w:rsidRPr="000F76DA" w:rsidRDefault="008D5270" w:rsidP="00166763">
            <w:pPr>
              <w:jc w:val="center"/>
              <w:rPr>
                <w:lang w:val="en-IE"/>
              </w:rPr>
            </w:pPr>
          </w:p>
        </w:tc>
        <w:tc>
          <w:tcPr>
            <w:tcW w:w="6896" w:type="dxa"/>
          </w:tcPr>
          <w:p w14:paraId="61025E40" w14:textId="77777777" w:rsidR="008D5270" w:rsidRDefault="008D5270" w:rsidP="00166763">
            <w:r>
              <w:t>For dry seaweed the maximum level applies to the product as placed on the market.</w:t>
            </w:r>
          </w:p>
          <w:p w14:paraId="32E6948B" w14:textId="77777777" w:rsidR="008D5270" w:rsidRPr="00025114" w:rsidRDefault="008D5270" w:rsidP="00166763">
            <w:r>
              <w:t>For fresh seaweed the maximum level applies on a dry matter basis (*).</w:t>
            </w:r>
          </w:p>
        </w:tc>
      </w:tr>
      <w:tr w:rsidR="008D5270" w:rsidRPr="00025114" w14:paraId="794BF43D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123C18A7" w14:textId="77777777" w:rsidR="008D5270" w:rsidRPr="00025114" w:rsidRDefault="008D5270" w:rsidP="00166763">
            <w:r>
              <w:lastRenderedPageBreak/>
              <w:t>3.4.9.1</w:t>
            </w:r>
          </w:p>
        </w:tc>
        <w:tc>
          <w:tcPr>
            <w:tcW w:w="4652" w:type="dxa"/>
          </w:tcPr>
          <w:p w14:paraId="268A8028" w14:textId="77777777" w:rsidR="008D5270" w:rsidRPr="00025114" w:rsidRDefault="008D5270" w:rsidP="00166763">
            <w:r>
              <w:t>Brown and green seaweed (</w:t>
            </w:r>
            <w:proofErr w:type="spellStart"/>
            <w:r w:rsidRPr="00D72059">
              <w:rPr>
                <w:i/>
                <w:iCs/>
              </w:rPr>
              <w:t>Ochrophyta</w:t>
            </w:r>
            <w:proofErr w:type="spellEnd"/>
            <w:r>
              <w:rPr>
                <w:i/>
                <w:iCs/>
              </w:rPr>
              <w:t xml:space="preserve"> and </w:t>
            </w:r>
            <w:r w:rsidRPr="00D72059">
              <w:rPr>
                <w:i/>
                <w:iCs/>
              </w:rPr>
              <w:t>Chlorophyta</w:t>
            </w:r>
            <w:r>
              <w:t>)</w:t>
            </w:r>
          </w:p>
        </w:tc>
        <w:tc>
          <w:tcPr>
            <w:tcW w:w="2268" w:type="dxa"/>
            <w:noWrap/>
          </w:tcPr>
          <w:p w14:paraId="2A634EEE" w14:textId="77777777" w:rsidR="008D5270" w:rsidRPr="000F76DA" w:rsidRDefault="008D5270" w:rsidP="00166763">
            <w:pPr>
              <w:jc w:val="center"/>
            </w:pPr>
            <w:r>
              <w:t>1.0</w:t>
            </w:r>
          </w:p>
        </w:tc>
        <w:tc>
          <w:tcPr>
            <w:tcW w:w="6896" w:type="dxa"/>
          </w:tcPr>
          <w:p w14:paraId="3ED7D67B" w14:textId="77777777" w:rsidR="008D5270" w:rsidRPr="000F76DA" w:rsidRDefault="008D5270" w:rsidP="00166763"/>
        </w:tc>
      </w:tr>
      <w:tr w:rsidR="008D5270" w:rsidRPr="00025114" w14:paraId="6603AC2F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71E5B3E8" w14:textId="77777777" w:rsidR="008D5270" w:rsidRPr="00025114" w:rsidRDefault="008D5270" w:rsidP="00166763">
            <w:r>
              <w:t>3.4.9.2</w:t>
            </w:r>
          </w:p>
        </w:tc>
        <w:tc>
          <w:tcPr>
            <w:tcW w:w="4652" w:type="dxa"/>
          </w:tcPr>
          <w:p w14:paraId="1433ACEA" w14:textId="77777777" w:rsidR="008D5270" w:rsidRPr="00025114" w:rsidRDefault="008D5270" w:rsidP="00166763">
            <w:r>
              <w:t>Red seaweed (</w:t>
            </w:r>
            <w:r w:rsidRPr="00D72059">
              <w:rPr>
                <w:i/>
                <w:iCs/>
                <w:lang w:val="en-IE"/>
              </w:rPr>
              <w:t>Rhodophyta</w:t>
            </w:r>
            <w:r>
              <w:t>)</w:t>
            </w:r>
          </w:p>
        </w:tc>
        <w:tc>
          <w:tcPr>
            <w:tcW w:w="2268" w:type="dxa"/>
            <w:noWrap/>
          </w:tcPr>
          <w:p w14:paraId="1D7D5A90" w14:textId="77777777" w:rsidR="008D5270" w:rsidRPr="000F76DA" w:rsidRDefault="008D5270" w:rsidP="00166763">
            <w:pPr>
              <w:jc w:val="center"/>
            </w:pPr>
            <w:r>
              <w:t>0.50</w:t>
            </w:r>
          </w:p>
        </w:tc>
        <w:tc>
          <w:tcPr>
            <w:tcW w:w="6896" w:type="dxa"/>
          </w:tcPr>
          <w:p w14:paraId="6D07F9B6" w14:textId="77777777" w:rsidR="008D5270" w:rsidRPr="000F76DA" w:rsidRDefault="008D5270" w:rsidP="00166763"/>
        </w:tc>
      </w:tr>
      <w:tr w:rsidR="008D5270" w:rsidRPr="00025114" w14:paraId="160CA431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35F164A9" w14:textId="77777777" w:rsidR="008D5270" w:rsidRDefault="008D5270" w:rsidP="00166763"/>
        </w:tc>
        <w:tc>
          <w:tcPr>
            <w:tcW w:w="4652" w:type="dxa"/>
          </w:tcPr>
          <w:p w14:paraId="08AF7C38" w14:textId="77777777" w:rsidR="008D5270" w:rsidRDefault="008D5270" w:rsidP="00166763"/>
        </w:tc>
        <w:tc>
          <w:tcPr>
            <w:tcW w:w="2268" w:type="dxa"/>
            <w:noWrap/>
          </w:tcPr>
          <w:p w14:paraId="4F3D1522" w14:textId="77777777" w:rsidR="008D5270" w:rsidRDefault="008D5270" w:rsidP="00166763">
            <w:pPr>
              <w:jc w:val="center"/>
            </w:pPr>
            <w:r w:rsidRPr="00886125">
              <w:t>Total arsenic</w:t>
            </w:r>
          </w:p>
        </w:tc>
        <w:tc>
          <w:tcPr>
            <w:tcW w:w="6896" w:type="dxa"/>
          </w:tcPr>
          <w:p w14:paraId="75609A4E" w14:textId="77777777" w:rsidR="008D5270" w:rsidRPr="000F76DA" w:rsidRDefault="008D5270" w:rsidP="00166763">
            <w:r>
              <w:t>The maximum level for total arsenic applies to the products listed in 3.4.10.</w:t>
            </w:r>
          </w:p>
        </w:tc>
      </w:tr>
      <w:tr w:rsidR="008D5270" w:rsidRPr="00025114" w14:paraId="51A53DF1" w14:textId="77777777" w:rsidTr="00166763">
        <w:trPr>
          <w:cantSplit/>
          <w:trHeight w:val="255"/>
        </w:trPr>
        <w:tc>
          <w:tcPr>
            <w:tcW w:w="1176" w:type="dxa"/>
            <w:noWrap/>
          </w:tcPr>
          <w:p w14:paraId="7E039708" w14:textId="77777777" w:rsidR="008D5270" w:rsidRDefault="008D5270" w:rsidP="00166763">
            <w:r>
              <w:t>3.4.10</w:t>
            </w:r>
          </w:p>
        </w:tc>
        <w:tc>
          <w:tcPr>
            <w:tcW w:w="4652" w:type="dxa"/>
          </w:tcPr>
          <w:p w14:paraId="6AC606B0" w14:textId="77777777" w:rsidR="008D5270" w:rsidRDefault="008D5270" w:rsidP="00166763">
            <w:r>
              <w:t>Salt</w:t>
            </w:r>
          </w:p>
        </w:tc>
        <w:tc>
          <w:tcPr>
            <w:tcW w:w="2268" w:type="dxa"/>
            <w:noWrap/>
          </w:tcPr>
          <w:p w14:paraId="49FB86A6" w14:textId="77777777" w:rsidR="008D5270" w:rsidRDefault="008D5270" w:rsidP="00166763">
            <w:pPr>
              <w:jc w:val="center"/>
            </w:pPr>
            <w:r>
              <w:t xml:space="preserve">0,50 </w:t>
            </w:r>
          </w:p>
        </w:tc>
        <w:tc>
          <w:tcPr>
            <w:tcW w:w="6896" w:type="dxa"/>
          </w:tcPr>
          <w:p w14:paraId="516959C2" w14:textId="77777777" w:rsidR="008D5270" w:rsidRPr="000F76DA" w:rsidRDefault="008D5270" w:rsidP="00166763"/>
        </w:tc>
      </w:tr>
    </w:tbl>
    <w:p w14:paraId="4B4637EB" w14:textId="77777777" w:rsidR="008D5270" w:rsidRPr="00B2388A" w:rsidRDefault="008D5270" w:rsidP="008D5270">
      <w:r>
        <w:t>’;</w:t>
      </w:r>
    </w:p>
    <w:p w14:paraId="5FDC0564" w14:textId="77777777" w:rsidR="008D5270" w:rsidRDefault="008D5270" w:rsidP="008D5270">
      <w:pPr>
        <w:pStyle w:val="ListParagraph"/>
        <w:numPr>
          <w:ilvl w:val="0"/>
          <w:numId w:val="2"/>
        </w:numPr>
      </w:pPr>
      <w:r>
        <w:t>In s</w:t>
      </w:r>
      <w:r w:rsidRPr="00280649">
        <w:t xml:space="preserve">ection </w:t>
      </w:r>
      <w:r>
        <w:t>6</w:t>
      </w:r>
      <w:r w:rsidRPr="00280649">
        <w:t xml:space="preserve"> </w:t>
      </w:r>
      <w:r>
        <w:t xml:space="preserve">(Other contaminants), </w:t>
      </w:r>
      <w:r w:rsidRPr="000157F5">
        <w:t xml:space="preserve">subsection </w:t>
      </w:r>
      <w:r>
        <w:t>6</w:t>
      </w:r>
      <w:r w:rsidRPr="000157F5">
        <w:t>.</w:t>
      </w:r>
      <w:r>
        <w:t>4</w:t>
      </w:r>
      <w:r w:rsidRPr="000157F5">
        <w:t xml:space="preserve"> (</w:t>
      </w:r>
      <w:r w:rsidRPr="008D5270">
        <w:rPr>
          <w:b/>
          <w:bCs/>
        </w:rPr>
        <w:t>Iodine</w:t>
      </w:r>
      <w:r w:rsidRPr="000157F5">
        <w:t>)</w:t>
      </w:r>
      <w:r>
        <w:t xml:space="preserve"> is added after row 6.3.5:</w:t>
      </w:r>
    </w:p>
    <w:p w14:paraId="16C7B10F" w14:textId="77777777" w:rsidR="008D5270" w:rsidRDefault="008D5270" w:rsidP="008D5270">
      <w:r>
        <w:t>‘</w:t>
      </w:r>
    </w:p>
    <w:tbl>
      <w:tblPr>
        <w:tblStyle w:val="TableGrid"/>
        <w:tblW w:w="149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6946"/>
      </w:tblGrid>
      <w:tr w:rsidR="008D5270" w:rsidRPr="00025114" w14:paraId="71E9CB76" w14:textId="77777777" w:rsidTr="00166763">
        <w:trPr>
          <w:cantSplit/>
          <w:trHeight w:val="255"/>
        </w:trPr>
        <w:tc>
          <w:tcPr>
            <w:tcW w:w="1101" w:type="dxa"/>
            <w:noWrap/>
          </w:tcPr>
          <w:p w14:paraId="05E05D3A" w14:textId="3616325C" w:rsidR="008D5270" w:rsidRDefault="008D5270" w:rsidP="00166763">
            <w:r>
              <w:t>6.</w:t>
            </w:r>
            <w:r w:rsidR="00543E7A">
              <w:t>4</w:t>
            </w:r>
            <w:r>
              <w:t>.5</w:t>
            </w:r>
          </w:p>
        </w:tc>
        <w:tc>
          <w:tcPr>
            <w:tcW w:w="4677" w:type="dxa"/>
          </w:tcPr>
          <w:p w14:paraId="0B652635" w14:textId="77777777" w:rsidR="008D5270" w:rsidRDefault="008D5270" w:rsidP="00166763">
            <w:r>
              <w:t>Iodine</w:t>
            </w:r>
          </w:p>
        </w:tc>
        <w:tc>
          <w:tcPr>
            <w:tcW w:w="2268" w:type="dxa"/>
            <w:noWrap/>
          </w:tcPr>
          <w:p w14:paraId="42777235" w14:textId="77777777" w:rsidR="008D5270" w:rsidRPr="000F76DA" w:rsidRDefault="008D5270" w:rsidP="00166763">
            <w:pPr>
              <w:jc w:val="center"/>
              <w:rPr>
                <w:lang w:val="en-IE"/>
              </w:rPr>
            </w:pPr>
            <w:r>
              <w:rPr>
                <w:lang w:val="en-IE"/>
              </w:rPr>
              <w:t>Maximum level (g/kg)</w:t>
            </w:r>
          </w:p>
        </w:tc>
        <w:tc>
          <w:tcPr>
            <w:tcW w:w="6946" w:type="dxa"/>
          </w:tcPr>
          <w:p w14:paraId="7B652282" w14:textId="77777777" w:rsidR="008D5270" w:rsidRPr="00025114" w:rsidRDefault="008D5270" w:rsidP="00166763">
            <w:r>
              <w:t>Remarks</w:t>
            </w:r>
          </w:p>
        </w:tc>
      </w:tr>
      <w:tr w:rsidR="008D5270" w:rsidRPr="00025114" w14:paraId="340B8ADF" w14:textId="77777777" w:rsidTr="00166763">
        <w:trPr>
          <w:cantSplit/>
          <w:trHeight w:val="255"/>
        </w:trPr>
        <w:tc>
          <w:tcPr>
            <w:tcW w:w="1101" w:type="dxa"/>
            <w:noWrap/>
            <w:hideMark/>
          </w:tcPr>
          <w:p w14:paraId="312F5FFC" w14:textId="103C2CCB" w:rsidR="008D5270" w:rsidRPr="00025114" w:rsidRDefault="008D5270" w:rsidP="00166763">
            <w:r>
              <w:t>6.</w:t>
            </w:r>
            <w:r w:rsidR="00543E7A">
              <w:t>4</w:t>
            </w:r>
            <w:r>
              <w:t>.5.1</w:t>
            </w:r>
          </w:p>
        </w:tc>
        <w:tc>
          <w:tcPr>
            <w:tcW w:w="4677" w:type="dxa"/>
            <w:hideMark/>
          </w:tcPr>
          <w:p w14:paraId="0182129A" w14:textId="77777777" w:rsidR="008D5270" w:rsidRPr="00025114" w:rsidRDefault="008D5270" w:rsidP="00166763">
            <w:r>
              <w:t xml:space="preserve">Seaweed </w:t>
            </w:r>
            <w:r w:rsidRPr="003D7C01">
              <w:t>placed on the market to the final consumer or used as an ingredient in food.</w:t>
            </w:r>
          </w:p>
        </w:tc>
        <w:tc>
          <w:tcPr>
            <w:tcW w:w="2268" w:type="dxa"/>
            <w:noWrap/>
          </w:tcPr>
          <w:p w14:paraId="76105F6E" w14:textId="77777777" w:rsidR="008D5270" w:rsidRPr="000F76DA" w:rsidRDefault="008D5270" w:rsidP="00166763">
            <w:pPr>
              <w:jc w:val="center"/>
              <w:rPr>
                <w:lang w:val="en-IE"/>
              </w:rPr>
            </w:pPr>
            <w:r>
              <w:rPr>
                <w:lang w:val="en-IE"/>
              </w:rPr>
              <w:t>1.0</w:t>
            </w:r>
          </w:p>
        </w:tc>
        <w:tc>
          <w:tcPr>
            <w:tcW w:w="6946" w:type="dxa"/>
          </w:tcPr>
          <w:p w14:paraId="6D29F5B9" w14:textId="77777777" w:rsidR="008D5270" w:rsidRPr="00B55E9F" w:rsidRDefault="008D5270" w:rsidP="00166763">
            <w:r>
              <w:t>For dry seaweed the maximum level applies to the product as placed on the market.</w:t>
            </w:r>
          </w:p>
          <w:p w14:paraId="7DC49BD6" w14:textId="77777777" w:rsidR="008D5270" w:rsidRDefault="008D5270" w:rsidP="00166763">
            <w:r>
              <w:t>For fresh seaweed the maximum level applies on a dry matter basis (*).</w:t>
            </w:r>
          </w:p>
          <w:p w14:paraId="7A9B54A7" w14:textId="77777777" w:rsidR="008D5270" w:rsidRPr="00B55E9F" w:rsidRDefault="008D5270" w:rsidP="00166763">
            <w:pPr>
              <w:rPr>
                <w:color w:val="FF0000"/>
              </w:rPr>
            </w:pPr>
            <w:r w:rsidRPr="003D7C01">
              <w:rPr>
                <w:color w:val="000000" w:themeColor="text1"/>
              </w:rPr>
              <w:t>The maximum levels apply without prejudice to national or EU legislation on iodine in food supplements or fortified foods.</w:t>
            </w:r>
          </w:p>
        </w:tc>
      </w:tr>
    </w:tbl>
    <w:p w14:paraId="753E553E" w14:textId="497F9D5F" w:rsidR="0044144D" w:rsidRPr="00B60C18" w:rsidRDefault="008D5270" w:rsidP="00B60C18">
      <w:r>
        <w:t>’</w:t>
      </w:r>
      <w:r>
        <w:rPr>
          <w:lang w:val="en-IE"/>
        </w:rPr>
        <w:t>.</w:t>
      </w:r>
    </w:p>
    <w:sectPr w:rsidR="0044144D" w:rsidRPr="00B60C18" w:rsidSect="00A57EB6">
      <w:pgSz w:w="16839" w:h="11907" w:orient="landscape"/>
      <w:pgMar w:top="1417" w:right="1134" w:bottom="141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EA6" w14:textId="77777777" w:rsidR="00905EA5" w:rsidRDefault="00905EA5" w:rsidP="00905EA5">
      <w:pPr>
        <w:spacing w:before="0" w:after="0"/>
      </w:pPr>
      <w:r>
        <w:separator/>
      </w:r>
    </w:p>
  </w:endnote>
  <w:endnote w:type="continuationSeparator" w:id="0">
    <w:p w14:paraId="792A522D" w14:textId="77777777" w:rsidR="00905EA5" w:rsidRDefault="00905EA5" w:rsidP="00905E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C6D3" w14:textId="77777777" w:rsidR="00D70500" w:rsidRDefault="00D70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C596" w14:textId="77777777" w:rsidR="00B60C18" w:rsidRPr="00905EA5" w:rsidRDefault="00905EA5" w:rsidP="00A53C64">
    <w:pPr>
      <w:pStyle w:val="FooterLandscape"/>
      <w:rPr>
        <w:rFonts w:ascii="Arial" w:hAnsi="Arial" w:cs="Arial"/>
        <w:b/>
        <w:sz w:val="48"/>
        <w:lang w:val="es-ES"/>
      </w:rPr>
    </w:pPr>
    <w:r w:rsidRPr="00905EA5">
      <w:rPr>
        <w:rFonts w:ascii="Arial" w:hAnsi="Arial" w:cs="Arial"/>
        <w:b/>
        <w:sz w:val="48"/>
        <w:lang w:val="es-ES"/>
      </w:rPr>
      <w:t>EN</w:t>
    </w:r>
    <w:r w:rsidRPr="00905EA5">
      <w:rPr>
        <w:rFonts w:ascii="Arial" w:hAnsi="Arial" w:cs="Arial"/>
        <w:b/>
        <w:sz w:val="48"/>
        <w:lang w:val="es-ES"/>
      </w:rPr>
      <w:tab/>
    </w:r>
    <w:r>
      <w:fldChar w:fldCharType="begin"/>
    </w:r>
    <w:r w:rsidRPr="00905EA5">
      <w:rPr>
        <w:lang w:val="es-ES"/>
      </w:rPr>
      <w:instrText xml:space="preserve"> PAGE  \* MERGEFORMAT </w:instrText>
    </w:r>
    <w:r>
      <w:fldChar w:fldCharType="separate"/>
    </w:r>
    <w:r w:rsidR="00F618B6">
      <w:rPr>
        <w:noProof/>
        <w:lang w:val="es-ES"/>
      </w:rPr>
      <w:t>2</w:t>
    </w:r>
    <w:r>
      <w:fldChar w:fldCharType="end"/>
    </w:r>
    <w:r w:rsidRPr="00905EA5">
      <w:rPr>
        <w:lang w:val="es-ES"/>
      </w:rPr>
      <w:tab/>
    </w:r>
    <w:r w:rsidRPr="00905EA5">
      <w:rPr>
        <w:lang w:val="es-ES"/>
      </w:rPr>
      <w:tab/>
    </w:r>
    <w:r w:rsidRPr="00905EA5">
      <w:rPr>
        <w:rFonts w:ascii="Arial" w:hAnsi="Arial" w:cs="Arial"/>
        <w:b/>
        <w:sz w:val="48"/>
        <w:lang w:val="es-ES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02B9" w14:textId="77777777" w:rsidR="00B60C18" w:rsidRPr="00A53C64" w:rsidRDefault="00B60C18" w:rsidP="00A53C64">
    <w:pPr>
      <w:pStyle w:val="FooterLandscap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C553" w14:textId="77777777" w:rsidR="00905EA5" w:rsidRDefault="00905EA5" w:rsidP="00905EA5">
      <w:pPr>
        <w:spacing w:before="0" w:after="0"/>
      </w:pPr>
      <w:r>
        <w:separator/>
      </w:r>
    </w:p>
  </w:footnote>
  <w:footnote w:type="continuationSeparator" w:id="0">
    <w:p w14:paraId="69CE350D" w14:textId="77777777" w:rsidR="00905EA5" w:rsidRDefault="00905EA5" w:rsidP="00905E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E3C3" w14:textId="77777777" w:rsidR="00D70500" w:rsidRDefault="00B60C18">
    <w:pPr>
      <w:pStyle w:val="Header"/>
    </w:pPr>
    <w:r>
      <w:rPr>
        <w:noProof/>
      </w:rPr>
      <w:pict w14:anchorId="3ED92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719" o:spid="_x0000_s38914" type="#_x0000_t136" style="position:absolute;left:0;text-align:left;margin-left:0;margin-top:0;width:456.85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2A9C" w14:textId="77777777" w:rsidR="00B60C18" w:rsidRPr="003622AC" w:rsidRDefault="00B60C18" w:rsidP="001C1A9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  <w:sz w:val="28"/>
        <w:szCs w:val="28"/>
      </w:rPr>
    </w:pPr>
    <w:r>
      <w:rPr>
        <w:noProof/>
      </w:rPr>
      <w:pict w14:anchorId="2ABA83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720" o:spid="_x0000_s38915" type="#_x0000_t136" style="position:absolute;left:0;text-align:left;margin-left:0;margin-top:0;width:456.85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905EA5" w:rsidRPr="003622AC">
      <w:rPr>
        <w:i/>
        <w:sz w:val="28"/>
        <w:szCs w:val="28"/>
      </w:rPr>
      <w:t xml:space="preserve">This </w:t>
    </w:r>
    <w:r w:rsidR="00905EA5">
      <w:rPr>
        <w:i/>
        <w:sz w:val="28"/>
        <w:szCs w:val="28"/>
      </w:rPr>
      <w:t xml:space="preserve">draft </w:t>
    </w:r>
    <w:r w:rsidR="00905EA5" w:rsidRPr="003622AC">
      <w:rPr>
        <w:i/>
        <w:sz w:val="28"/>
        <w:szCs w:val="28"/>
      </w:rPr>
      <w:t xml:space="preserve">has not been adopted </w:t>
    </w:r>
    <w:r w:rsidR="00905EA5">
      <w:rPr>
        <w:i/>
        <w:sz w:val="28"/>
        <w:szCs w:val="28"/>
      </w:rPr>
      <w:t xml:space="preserve">or endorsed </w:t>
    </w:r>
    <w:r w:rsidR="00905EA5" w:rsidRPr="003622AC">
      <w:rPr>
        <w:i/>
        <w:sz w:val="28"/>
        <w:szCs w:val="28"/>
      </w:rPr>
      <w:t xml:space="preserve">by the </w:t>
    </w:r>
    <w:r w:rsidR="00905EA5">
      <w:rPr>
        <w:i/>
        <w:sz w:val="28"/>
        <w:szCs w:val="28"/>
      </w:rPr>
      <w:t>European Commission</w:t>
    </w:r>
    <w:r w:rsidR="00905EA5" w:rsidRPr="003622AC">
      <w:rPr>
        <w:i/>
        <w:sz w:val="28"/>
        <w:szCs w:val="28"/>
      </w:rPr>
      <w:t xml:space="preserve">. </w:t>
    </w:r>
    <w:r w:rsidR="00905EA5" w:rsidRPr="00291AAE">
      <w:rPr>
        <w:i/>
        <w:sz w:val="28"/>
        <w:szCs w:val="28"/>
      </w:rPr>
      <w:t xml:space="preserve">Any views expressed are </w:t>
    </w:r>
    <w:r w:rsidR="00905EA5">
      <w:rPr>
        <w:i/>
        <w:sz w:val="28"/>
        <w:szCs w:val="28"/>
      </w:rPr>
      <w:t xml:space="preserve">the preliminary views of the Commission services </w:t>
    </w:r>
    <w:r w:rsidR="00905EA5" w:rsidRPr="00291AAE">
      <w:rPr>
        <w:i/>
        <w:sz w:val="28"/>
        <w:szCs w:val="28"/>
      </w:rPr>
      <w:t xml:space="preserve">and may not in any circumstances be regarded as stating an official position of the Commission. The information transmitted is intended only for the </w:t>
    </w:r>
    <w:r w:rsidR="00905EA5">
      <w:rPr>
        <w:i/>
        <w:sz w:val="28"/>
        <w:szCs w:val="28"/>
      </w:rPr>
      <w:t>Member State</w:t>
    </w:r>
    <w:r w:rsidR="00905EA5" w:rsidRPr="00291AAE">
      <w:rPr>
        <w:i/>
        <w:sz w:val="28"/>
        <w:szCs w:val="28"/>
      </w:rPr>
      <w:t xml:space="preserve"> or entity to which it is addressed </w:t>
    </w:r>
    <w:r w:rsidR="00905EA5">
      <w:rPr>
        <w:i/>
        <w:sz w:val="28"/>
        <w:szCs w:val="28"/>
      </w:rPr>
      <w:t xml:space="preserve">for discussions </w:t>
    </w:r>
    <w:r w:rsidR="00905EA5" w:rsidRPr="00291AAE">
      <w:rPr>
        <w:i/>
        <w:sz w:val="28"/>
        <w:szCs w:val="28"/>
      </w:rPr>
      <w:t>and may contain confidential and/or privileged material. </w:t>
    </w:r>
  </w:p>
  <w:p w14:paraId="3A3C5FAA" w14:textId="77777777" w:rsidR="00B60C18" w:rsidRPr="00A53C64" w:rsidRDefault="00B60C18" w:rsidP="00A53C64">
    <w:pPr>
      <w:pStyle w:val="HeaderLandscap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A592" w14:textId="77777777" w:rsidR="00B60C18" w:rsidRPr="00A53C64" w:rsidRDefault="00B60C18" w:rsidP="00A53C64">
    <w:pPr>
      <w:pStyle w:val="HeaderLandscape"/>
    </w:pPr>
    <w:r>
      <w:rPr>
        <w:noProof/>
      </w:rPr>
      <w:pict w14:anchorId="505FD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718" o:spid="_x0000_s38913" type="#_x0000_t136" style="position:absolute;left:0;text-align:left;margin-left:0;margin-top:0;width:456.85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F4578"/>
    <w:multiLevelType w:val="hybridMultilevel"/>
    <w:tmpl w:val="EBF6CB3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ADE"/>
    <w:multiLevelType w:val="hybridMultilevel"/>
    <w:tmpl w:val="EBF6CB38"/>
    <w:lvl w:ilvl="0" w:tplc="305C9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08298">
    <w:abstractNumId w:val="1"/>
  </w:num>
  <w:num w:numId="2" w16cid:durableId="165120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3891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3E1D"/>
    <w:rsid w:val="000030D7"/>
    <w:rsid w:val="00011564"/>
    <w:rsid w:val="000150DE"/>
    <w:rsid w:val="000401EF"/>
    <w:rsid w:val="000505A2"/>
    <w:rsid w:val="00051166"/>
    <w:rsid w:val="00070119"/>
    <w:rsid w:val="00074243"/>
    <w:rsid w:val="00084AE9"/>
    <w:rsid w:val="000A4189"/>
    <w:rsid w:val="000A460C"/>
    <w:rsid w:val="000D1A54"/>
    <w:rsid w:val="000D66C6"/>
    <w:rsid w:val="000E2218"/>
    <w:rsid w:val="000E253B"/>
    <w:rsid w:val="000F54A9"/>
    <w:rsid w:val="001049D5"/>
    <w:rsid w:val="00116D87"/>
    <w:rsid w:val="001173E4"/>
    <w:rsid w:val="0014037B"/>
    <w:rsid w:val="00152A35"/>
    <w:rsid w:val="00164523"/>
    <w:rsid w:val="00180891"/>
    <w:rsid w:val="001A1E34"/>
    <w:rsid w:val="001A64F9"/>
    <w:rsid w:val="001B5B88"/>
    <w:rsid w:val="001B7B11"/>
    <w:rsid w:val="001C570E"/>
    <w:rsid w:val="001C6A0B"/>
    <w:rsid w:val="001D0C72"/>
    <w:rsid w:val="001D10C0"/>
    <w:rsid w:val="001F0008"/>
    <w:rsid w:val="001F2AA1"/>
    <w:rsid w:val="00216FA6"/>
    <w:rsid w:val="00222B7F"/>
    <w:rsid w:val="0024613D"/>
    <w:rsid w:val="0026125D"/>
    <w:rsid w:val="00274539"/>
    <w:rsid w:val="002821AB"/>
    <w:rsid w:val="00283E61"/>
    <w:rsid w:val="002A6C4F"/>
    <w:rsid w:val="002B1DD7"/>
    <w:rsid w:val="002B601E"/>
    <w:rsid w:val="002C0597"/>
    <w:rsid w:val="002C24C4"/>
    <w:rsid w:val="002F2D57"/>
    <w:rsid w:val="002F5898"/>
    <w:rsid w:val="003062DA"/>
    <w:rsid w:val="003214D1"/>
    <w:rsid w:val="00347475"/>
    <w:rsid w:val="00351ACF"/>
    <w:rsid w:val="003546B0"/>
    <w:rsid w:val="00385B76"/>
    <w:rsid w:val="003972A0"/>
    <w:rsid w:val="003B38DF"/>
    <w:rsid w:val="003B4E6E"/>
    <w:rsid w:val="003B69EB"/>
    <w:rsid w:val="003B7BDA"/>
    <w:rsid w:val="003C47D1"/>
    <w:rsid w:val="003E1DF8"/>
    <w:rsid w:val="003E2BFC"/>
    <w:rsid w:val="003E60AA"/>
    <w:rsid w:val="00403BFE"/>
    <w:rsid w:val="0040627B"/>
    <w:rsid w:val="0041332B"/>
    <w:rsid w:val="00415059"/>
    <w:rsid w:val="00416120"/>
    <w:rsid w:val="00417044"/>
    <w:rsid w:val="004175AB"/>
    <w:rsid w:val="00424871"/>
    <w:rsid w:val="0044067C"/>
    <w:rsid w:val="0044144D"/>
    <w:rsid w:val="00444E23"/>
    <w:rsid w:val="00447DD8"/>
    <w:rsid w:val="004655C9"/>
    <w:rsid w:val="004738BE"/>
    <w:rsid w:val="00477579"/>
    <w:rsid w:val="004835C1"/>
    <w:rsid w:val="004928D3"/>
    <w:rsid w:val="0049612D"/>
    <w:rsid w:val="00497270"/>
    <w:rsid w:val="004A7A56"/>
    <w:rsid w:val="004B2B13"/>
    <w:rsid w:val="004D3409"/>
    <w:rsid w:val="004E0063"/>
    <w:rsid w:val="004E67B7"/>
    <w:rsid w:val="004F6563"/>
    <w:rsid w:val="00504D91"/>
    <w:rsid w:val="00512D3C"/>
    <w:rsid w:val="00522EF7"/>
    <w:rsid w:val="00530FAF"/>
    <w:rsid w:val="00534854"/>
    <w:rsid w:val="00535F79"/>
    <w:rsid w:val="005372CB"/>
    <w:rsid w:val="0054006A"/>
    <w:rsid w:val="00543E7A"/>
    <w:rsid w:val="00565754"/>
    <w:rsid w:val="005675E9"/>
    <w:rsid w:val="00570AE8"/>
    <w:rsid w:val="00576E70"/>
    <w:rsid w:val="005906B3"/>
    <w:rsid w:val="005B1343"/>
    <w:rsid w:val="005D04E2"/>
    <w:rsid w:val="005D5F5E"/>
    <w:rsid w:val="005D7EC4"/>
    <w:rsid w:val="005E7FC6"/>
    <w:rsid w:val="0060265F"/>
    <w:rsid w:val="00627B48"/>
    <w:rsid w:val="00637540"/>
    <w:rsid w:val="00684808"/>
    <w:rsid w:val="006877A1"/>
    <w:rsid w:val="00690BAC"/>
    <w:rsid w:val="00692C15"/>
    <w:rsid w:val="00697049"/>
    <w:rsid w:val="0069799B"/>
    <w:rsid w:val="006C36BA"/>
    <w:rsid w:val="00715B07"/>
    <w:rsid w:val="007677A5"/>
    <w:rsid w:val="007871A9"/>
    <w:rsid w:val="00797C7A"/>
    <w:rsid w:val="007A23F5"/>
    <w:rsid w:val="007A6A44"/>
    <w:rsid w:val="007B4D4D"/>
    <w:rsid w:val="007D5BD7"/>
    <w:rsid w:val="007E36E4"/>
    <w:rsid w:val="007F1094"/>
    <w:rsid w:val="007F3C1E"/>
    <w:rsid w:val="008018F5"/>
    <w:rsid w:val="00801C23"/>
    <w:rsid w:val="00803E1D"/>
    <w:rsid w:val="008146F1"/>
    <w:rsid w:val="008162C1"/>
    <w:rsid w:val="0082496D"/>
    <w:rsid w:val="0083542D"/>
    <w:rsid w:val="00842FD6"/>
    <w:rsid w:val="00857CB3"/>
    <w:rsid w:val="00873BEE"/>
    <w:rsid w:val="008846E1"/>
    <w:rsid w:val="008A50B1"/>
    <w:rsid w:val="008B4182"/>
    <w:rsid w:val="008B5182"/>
    <w:rsid w:val="008C34D5"/>
    <w:rsid w:val="008C6C2F"/>
    <w:rsid w:val="008D5270"/>
    <w:rsid w:val="008D77C7"/>
    <w:rsid w:val="008E6E82"/>
    <w:rsid w:val="008F1F91"/>
    <w:rsid w:val="00903E03"/>
    <w:rsid w:val="00905EA5"/>
    <w:rsid w:val="00924F3D"/>
    <w:rsid w:val="00932621"/>
    <w:rsid w:val="00937704"/>
    <w:rsid w:val="009474D7"/>
    <w:rsid w:val="00953C36"/>
    <w:rsid w:val="0096197E"/>
    <w:rsid w:val="00974BCC"/>
    <w:rsid w:val="009B6C7F"/>
    <w:rsid w:val="009C5DD2"/>
    <w:rsid w:val="009D27E5"/>
    <w:rsid w:val="009D2F76"/>
    <w:rsid w:val="009F0B36"/>
    <w:rsid w:val="009F75DB"/>
    <w:rsid w:val="00A15921"/>
    <w:rsid w:val="00A27772"/>
    <w:rsid w:val="00A41FB4"/>
    <w:rsid w:val="00A462C9"/>
    <w:rsid w:val="00A5019F"/>
    <w:rsid w:val="00A57EB6"/>
    <w:rsid w:val="00A601AF"/>
    <w:rsid w:val="00A6272A"/>
    <w:rsid w:val="00A630EE"/>
    <w:rsid w:val="00A726C9"/>
    <w:rsid w:val="00AB3009"/>
    <w:rsid w:val="00AC62D1"/>
    <w:rsid w:val="00AE1303"/>
    <w:rsid w:val="00AE2A50"/>
    <w:rsid w:val="00AF12B1"/>
    <w:rsid w:val="00AF56CE"/>
    <w:rsid w:val="00B056BE"/>
    <w:rsid w:val="00B129A4"/>
    <w:rsid w:val="00B4513D"/>
    <w:rsid w:val="00B546EB"/>
    <w:rsid w:val="00B60C18"/>
    <w:rsid w:val="00B74839"/>
    <w:rsid w:val="00BC117B"/>
    <w:rsid w:val="00BD639E"/>
    <w:rsid w:val="00BE3DE3"/>
    <w:rsid w:val="00BF5407"/>
    <w:rsid w:val="00BF5577"/>
    <w:rsid w:val="00C22302"/>
    <w:rsid w:val="00C26F94"/>
    <w:rsid w:val="00C27516"/>
    <w:rsid w:val="00C3233D"/>
    <w:rsid w:val="00C5215B"/>
    <w:rsid w:val="00CA03DF"/>
    <w:rsid w:val="00CB2E0A"/>
    <w:rsid w:val="00CB54E1"/>
    <w:rsid w:val="00CD4D28"/>
    <w:rsid w:val="00CD51AC"/>
    <w:rsid w:val="00CF723B"/>
    <w:rsid w:val="00D129B5"/>
    <w:rsid w:val="00D27838"/>
    <w:rsid w:val="00D30C5D"/>
    <w:rsid w:val="00D316CB"/>
    <w:rsid w:val="00D34669"/>
    <w:rsid w:val="00D40068"/>
    <w:rsid w:val="00D5443E"/>
    <w:rsid w:val="00D629EE"/>
    <w:rsid w:val="00D66F68"/>
    <w:rsid w:val="00D70500"/>
    <w:rsid w:val="00D964C0"/>
    <w:rsid w:val="00D97C45"/>
    <w:rsid w:val="00DA1EF2"/>
    <w:rsid w:val="00DA3A5D"/>
    <w:rsid w:val="00DD6701"/>
    <w:rsid w:val="00DD6A97"/>
    <w:rsid w:val="00DE0369"/>
    <w:rsid w:val="00DE5633"/>
    <w:rsid w:val="00DF0237"/>
    <w:rsid w:val="00DF4287"/>
    <w:rsid w:val="00E107E3"/>
    <w:rsid w:val="00E20107"/>
    <w:rsid w:val="00E312F0"/>
    <w:rsid w:val="00E33F9C"/>
    <w:rsid w:val="00E346E3"/>
    <w:rsid w:val="00E42633"/>
    <w:rsid w:val="00E452E6"/>
    <w:rsid w:val="00E75A26"/>
    <w:rsid w:val="00E7724F"/>
    <w:rsid w:val="00E82AB0"/>
    <w:rsid w:val="00E95F55"/>
    <w:rsid w:val="00E96E37"/>
    <w:rsid w:val="00EA4048"/>
    <w:rsid w:val="00EA6D3D"/>
    <w:rsid w:val="00EE3187"/>
    <w:rsid w:val="00EE4B52"/>
    <w:rsid w:val="00F03858"/>
    <w:rsid w:val="00F04FD7"/>
    <w:rsid w:val="00F13393"/>
    <w:rsid w:val="00F23669"/>
    <w:rsid w:val="00F40688"/>
    <w:rsid w:val="00F51EA4"/>
    <w:rsid w:val="00F54389"/>
    <w:rsid w:val="00F618B6"/>
    <w:rsid w:val="00F725C0"/>
    <w:rsid w:val="00F97247"/>
    <w:rsid w:val="00FA48A2"/>
    <w:rsid w:val="00FB1C6B"/>
    <w:rsid w:val="00FC40A2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,"/>
  <w:listSeparator w:val=";"/>
  <w14:docId w14:val="21F66DD8"/>
  <w15:docId w15:val="{ABC6BDC3-A0CC-477D-A9E4-3A71F24B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1D"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E1D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03E1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3E1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03E1D"/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rsid w:val="00803E1D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803E1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Annexetitre">
    <w:name w:val="Annexe titre"/>
    <w:basedOn w:val="Normal"/>
    <w:next w:val="Normal"/>
    <w:rsid w:val="00803E1D"/>
    <w:pPr>
      <w:jc w:val="center"/>
    </w:pPr>
    <w:rPr>
      <w:b/>
      <w:u w:val="single"/>
    </w:rPr>
  </w:style>
  <w:style w:type="paragraph" w:customStyle="1" w:styleId="Typedudocument">
    <w:name w:val="Type du document"/>
    <w:basedOn w:val="Normal"/>
    <w:next w:val="Normal"/>
    <w:rsid w:val="00803E1D"/>
    <w:pPr>
      <w:spacing w:before="360" w:after="180"/>
      <w:jc w:val="center"/>
    </w:pPr>
    <w:rPr>
      <w:b/>
    </w:rPr>
  </w:style>
  <w:style w:type="paragraph" w:customStyle="1" w:styleId="Pagedecouverture">
    <w:name w:val="Page de couverture"/>
    <w:basedOn w:val="Normal"/>
    <w:next w:val="Normal"/>
    <w:rsid w:val="00803E1D"/>
    <w:pPr>
      <w:spacing w:before="0" w:after="0"/>
    </w:pPr>
  </w:style>
  <w:style w:type="paragraph" w:customStyle="1" w:styleId="Accompagnant">
    <w:name w:val="Accompagnant"/>
    <w:basedOn w:val="Normal"/>
    <w:next w:val="Typeacteprincipal"/>
    <w:rsid w:val="00803E1D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803E1D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Normal"/>
    <w:rsid w:val="00803E1D"/>
    <w:pPr>
      <w:spacing w:before="0" w:after="360"/>
      <w:jc w:val="center"/>
    </w:pPr>
    <w:rPr>
      <w:b/>
    </w:rPr>
  </w:style>
  <w:style w:type="table" w:styleId="TableGrid">
    <w:name w:val="Table Grid"/>
    <w:basedOn w:val="TableNormal"/>
    <w:uiPriority w:val="59"/>
    <w:rsid w:val="00803E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E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D10C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10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C0"/>
    <w:rPr>
      <w:vertAlign w:val="superscript"/>
    </w:rPr>
  </w:style>
  <w:style w:type="character" w:customStyle="1" w:styleId="Marker">
    <w:name w:val="Marker"/>
    <w:basedOn w:val="DefaultParagraphFont"/>
    <w:rsid w:val="0044144D"/>
    <w:rPr>
      <w:color w:val="0000FF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44144D"/>
    <w:rPr>
      <w:color w:val="0000FF" w:themeColor="hyperlink"/>
      <w:u w:val="single"/>
    </w:rPr>
  </w:style>
  <w:style w:type="paragraph" w:customStyle="1" w:styleId="tbl-norm">
    <w:name w:val="tbl-norm"/>
    <w:basedOn w:val="Normal"/>
    <w:rsid w:val="0044144D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paragraph" w:customStyle="1" w:styleId="Normal1">
    <w:name w:val="Normal1"/>
    <w:basedOn w:val="Normal"/>
    <w:rsid w:val="0044144D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character" w:customStyle="1" w:styleId="superscript">
    <w:name w:val="superscript"/>
    <w:basedOn w:val="DefaultParagraphFont"/>
    <w:rsid w:val="0044144D"/>
  </w:style>
  <w:style w:type="character" w:customStyle="1" w:styleId="italics">
    <w:name w:val="italics"/>
    <w:basedOn w:val="DefaultParagraphFont"/>
    <w:rsid w:val="0044144D"/>
  </w:style>
  <w:style w:type="paragraph" w:customStyle="1" w:styleId="tbl-txt">
    <w:name w:val="tbl-txt"/>
    <w:basedOn w:val="Normal"/>
    <w:rsid w:val="001173E4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character" w:customStyle="1" w:styleId="bold">
    <w:name w:val="bold"/>
    <w:basedOn w:val="DefaultParagraphFont"/>
    <w:rsid w:val="001173E4"/>
  </w:style>
  <w:style w:type="paragraph" w:customStyle="1" w:styleId="Normal2">
    <w:name w:val="Normal2"/>
    <w:basedOn w:val="Normal"/>
    <w:rsid w:val="001173E4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character" w:customStyle="1" w:styleId="super">
    <w:name w:val="super"/>
    <w:basedOn w:val="DefaultParagraphFont"/>
    <w:rsid w:val="001173E4"/>
  </w:style>
  <w:style w:type="character" w:customStyle="1" w:styleId="italic">
    <w:name w:val="italic"/>
    <w:basedOn w:val="DefaultParagraphFont"/>
    <w:rsid w:val="001173E4"/>
  </w:style>
  <w:style w:type="paragraph" w:customStyle="1" w:styleId="Point0">
    <w:name w:val="Point 0"/>
    <w:basedOn w:val="Normal"/>
    <w:rsid w:val="00D70500"/>
    <w:pPr>
      <w:ind w:left="850" w:hanging="850"/>
    </w:pPr>
  </w:style>
  <w:style w:type="paragraph" w:styleId="ListParagraph">
    <w:name w:val="List Paragraph"/>
    <w:basedOn w:val="Normal"/>
    <w:uiPriority w:val="34"/>
    <w:qFormat/>
    <w:rsid w:val="00D7050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B7BD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7BD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C3918-8DD0-4BD3-A99B-45A3E55C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451</Words>
  <Characters>2420</Characters>
  <Application>Microsoft Office Word</Application>
  <DocSecurity>0</DocSecurity>
  <Lines>121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SWARTENBROUX Frank (SANCO)</dc:creator>
  <cp:lastModifiedBy>VANHEUSDEN Veerle (SANTE)</cp:lastModifiedBy>
  <cp:revision>4</cp:revision>
  <cp:lastPrinted>2023-02-21T14:05:00Z</cp:lastPrinted>
  <dcterms:created xsi:type="dcterms:W3CDTF">2025-11-28T14:00:00Z</dcterms:created>
  <dcterms:modified xsi:type="dcterms:W3CDTF">2025-11-28T14:18:00Z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2023-02-20T14:32:47Z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dbdb05df-b748-4032-95cc-2ee3a09993a7</vt:lpwstr>
  </property>
  <property fmtid="{D5CDD505-2E9C-101B-9397-08002B2CF9AE}" pid="8" name="MSIP_Label_6bd9ddd1-4d20-43f6-abfa-fc3c07406f94_ContentBits">
    <vt:lpwstr>0</vt:lpwstr>
  </property>
</Properties>
</file>